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C5B11" w14:textId="7145E621" w:rsidR="00321FC7" w:rsidRPr="003565C0" w:rsidRDefault="00201B5B" w:rsidP="00F1785A">
      <w:pPr>
        <w:jc w:val="center"/>
        <w:rPr>
          <w:b/>
          <w:i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 xml:space="preserve">Institut za turizam </w:t>
      </w:r>
      <w:r w:rsidRPr="00D1654A">
        <w:rPr>
          <w:rFonts w:eastAsia="Times New Roman" w:cs="Arial"/>
          <w:b/>
          <w:sz w:val="32"/>
          <w:szCs w:val="32"/>
        </w:rPr>
        <w:t>za razdo</w:t>
      </w:r>
      <w:r w:rsidR="00321FC7" w:rsidRPr="00D1654A">
        <w:rPr>
          <w:b/>
          <w:sz w:val="32"/>
          <w:szCs w:val="32"/>
        </w:rPr>
        <w:t>blje 202</w:t>
      </w:r>
      <w:r w:rsidR="00F415A8">
        <w:rPr>
          <w:b/>
          <w:sz w:val="32"/>
          <w:szCs w:val="32"/>
        </w:rPr>
        <w:t>5</w:t>
      </w:r>
      <w:r w:rsidR="00321FC7" w:rsidRPr="00D1654A">
        <w:rPr>
          <w:b/>
          <w:sz w:val="32"/>
          <w:szCs w:val="32"/>
        </w:rPr>
        <w:t>.</w:t>
      </w:r>
      <w:r w:rsidR="00F5225D">
        <w:rPr>
          <w:b/>
          <w:sz w:val="32"/>
          <w:szCs w:val="32"/>
        </w:rPr>
        <w:t xml:space="preserve"> </w:t>
      </w:r>
      <w:r w:rsidR="001E0FD7">
        <w:rPr>
          <w:b/>
          <w:sz w:val="32"/>
          <w:szCs w:val="32"/>
        </w:rPr>
        <w:t>–</w:t>
      </w:r>
      <w:r w:rsidR="00F5225D">
        <w:rPr>
          <w:b/>
          <w:sz w:val="32"/>
          <w:szCs w:val="32"/>
        </w:rPr>
        <w:t xml:space="preserve"> </w:t>
      </w:r>
      <w:r w:rsidR="00F415A8">
        <w:rPr>
          <w:b/>
          <w:sz w:val="32"/>
          <w:szCs w:val="32"/>
        </w:rPr>
        <w:t>2027</w:t>
      </w:r>
      <w:r w:rsidR="001E0FD7">
        <w:rPr>
          <w:b/>
          <w:sz w:val="32"/>
          <w:szCs w:val="32"/>
        </w:rPr>
        <w:t>.</w:t>
      </w:r>
    </w:p>
    <w:p w14:paraId="1F7E6B6D" w14:textId="77777777" w:rsidR="0011367A" w:rsidRPr="00321FC7" w:rsidRDefault="0011367A" w:rsidP="00321FC7">
      <w:pPr>
        <w:rPr>
          <w:b/>
          <w:sz w:val="32"/>
          <w:szCs w:val="32"/>
        </w:rPr>
      </w:pPr>
    </w:p>
    <w:p w14:paraId="4FEBFCAE" w14:textId="77777777" w:rsidR="004309AF" w:rsidRPr="00F1785A" w:rsidRDefault="00EF05CF" w:rsidP="00B96E0C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F1785A">
        <w:rPr>
          <w:rFonts w:ascii="Calibri" w:hAnsi="Calibri" w:cs="Calibri"/>
          <w:b/>
          <w:sz w:val="28"/>
          <w:szCs w:val="28"/>
        </w:rPr>
        <w:t>Sažetak djelokruga rada proračunskog korisnika</w:t>
      </w:r>
    </w:p>
    <w:p w14:paraId="2B496F03" w14:textId="32F77546" w:rsidR="001243E6" w:rsidRPr="0078380B" w:rsidRDefault="001243E6" w:rsidP="001243E6">
      <w:pPr>
        <w:spacing w:line="360" w:lineRule="auto"/>
        <w:jc w:val="both"/>
        <w:rPr>
          <w:rFonts w:ascii="Calibri" w:hAnsi="Calibri" w:cs="Calibri"/>
          <w:bCs/>
        </w:rPr>
      </w:pPr>
      <w:r w:rsidRPr="0078380B">
        <w:rPr>
          <w:rFonts w:ascii="Calibri" w:hAnsi="Calibri" w:cs="Calibri"/>
          <w:bCs/>
        </w:rPr>
        <w:t>Institut za turizam u Zagrebu jedini je javni znanstveni institut u Hrvatskoj specijaliziran za istraživanja na području turizma. Usmjeren je na inovativna, međunarodno konkurentna istraživanja te na istraživanja koja su praktično primjenjiva u turističkom gospodarstvu i koja su u funkciji povezivanja znanosti i prakse s područja turizma. Institut za turizam je jedna od najstarijih institucija u Europi koja se bavi istraživanjima u turizmu</w:t>
      </w:r>
      <w:r w:rsidR="0020627C">
        <w:rPr>
          <w:rFonts w:ascii="Calibri" w:hAnsi="Calibri" w:cs="Calibri"/>
          <w:bCs/>
        </w:rPr>
        <w:t xml:space="preserve">. </w:t>
      </w:r>
      <w:r w:rsidR="006F1534">
        <w:rPr>
          <w:rFonts w:ascii="Calibri" w:hAnsi="Calibri" w:cs="Calibri"/>
          <w:bCs/>
        </w:rPr>
        <w:t>O</w:t>
      </w:r>
      <w:r w:rsidRPr="0078380B">
        <w:rPr>
          <w:rFonts w:ascii="Calibri" w:hAnsi="Calibri" w:cs="Calibri"/>
          <w:bCs/>
        </w:rPr>
        <w:t xml:space="preserve">snovan je 1959. godine, a 1986. godine postao je javna znanstvena institucija i od tada nosi današnji naziv – </w:t>
      </w:r>
      <w:r w:rsidRPr="00473F10">
        <w:rPr>
          <w:rFonts w:ascii="Calibri" w:hAnsi="Calibri" w:cs="Calibri"/>
          <w:bCs/>
        </w:rPr>
        <w:t xml:space="preserve">Institut za turizam. Danas je Institut za turizam znanstvena institucija čiji multidisciplinarni tim </w:t>
      </w:r>
      <w:r w:rsidRPr="00B22039">
        <w:rPr>
          <w:rFonts w:ascii="Calibri" w:hAnsi="Calibri" w:cs="Calibri"/>
          <w:bCs/>
        </w:rPr>
        <w:t>znanstvenika (19 istraživača od 32 ukupno zaposlenih djelatnika)</w:t>
      </w:r>
      <w:r w:rsidRPr="0078380B">
        <w:rPr>
          <w:rFonts w:ascii="Calibri" w:hAnsi="Calibri" w:cs="Calibri"/>
          <w:bCs/>
        </w:rPr>
        <w:t xml:space="preserve"> izučava složeni fenomen turizma i utjecaj njegovog razvoja na ekonomiju, društvo</w:t>
      </w:r>
      <w:r w:rsidR="00D1654A">
        <w:rPr>
          <w:rFonts w:ascii="Calibri" w:hAnsi="Calibri" w:cs="Calibri"/>
          <w:bCs/>
        </w:rPr>
        <w:t>, prostor</w:t>
      </w:r>
      <w:r w:rsidRPr="0078380B">
        <w:rPr>
          <w:rFonts w:ascii="Calibri" w:hAnsi="Calibri" w:cs="Calibri"/>
          <w:bCs/>
        </w:rPr>
        <w:t xml:space="preserve"> i okoliš, a stečenim znanjem i spoznajama uspješno inovira turističku praksu</w:t>
      </w:r>
      <w:r w:rsidR="006F1534">
        <w:rPr>
          <w:rFonts w:ascii="Calibri" w:hAnsi="Calibri" w:cs="Calibri"/>
          <w:bCs/>
        </w:rPr>
        <w:t xml:space="preserve"> i podiže konkurentnost hrvatskog turizma</w:t>
      </w:r>
      <w:r w:rsidRPr="0078380B">
        <w:rPr>
          <w:rFonts w:ascii="Calibri" w:hAnsi="Calibri" w:cs="Calibri"/>
          <w:bCs/>
        </w:rPr>
        <w:t xml:space="preserve">. </w:t>
      </w:r>
    </w:p>
    <w:p w14:paraId="67907709" w14:textId="76A3E5D7" w:rsidR="00BB3074" w:rsidRDefault="00BB3074" w:rsidP="0045558E">
      <w:pPr>
        <w:spacing w:line="360" w:lineRule="auto"/>
        <w:jc w:val="both"/>
        <w:rPr>
          <w:rFonts w:ascii="Calibri" w:hAnsi="Calibri" w:cs="Calibri"/>
          <w:bCs/>
        </w:rPr>
      </w:pPr>
      <w:r w:rsidRPr="00BB3074">
        <w:rPr>
          <w:rFonts w:ascii="Calibri" w:hAnsi="Calibri" w:cs="Calibri"/>
          <w:bCs/>
        </w:rPr>
        <w:t>Znanstvenu djelatnost Ins</w:t>
      </w:r>
      <w:r>
        <w:rPr>
          <w:rFonts w:ascii="Calibri" w:hAnsi="Calibri" w:cs="Calibri"/>
          <w:bCs/>
        </w:rPr>
        <w:t>ti</w:t>
      </w:r>
      <w:r w:rsidRPr="00BB3074">
        <w:rPr>
          <w:rFonts w:ascii="Calibri" w:hAnsi="Calibri" w:cs="Calibri"/>
          <w:bCs/>
        </w:rPr>
        <w:t>tut za turizam obavlja putem provođenja međunarodnih, domaćih</w:t>
      </w:r>
      <w:r>
        <w:rPr>
          <w:rFonts w:ascii="Calibri" w:hAnsi="Calibri" w:cs="Calibri"/>
          <w:bCs/>
        </w:rPr>
        <w:t xml:space="preserve"> kompetitivnih</w:t>
      </w:r>
      <w:r w:rsidRPr="00BB3074">
        <w:rPr>
          <w:rFonts w:ascii="Calibri" w:hAnsi="Calibri" w:cs="Calibri"/>
          <w:bCs/>
        </w:rPr>
        <w:t xml:space="preserve"> znanstvenih projekata, kao i putem provođenja internih znanstvenih projekata </w:t>
      </w:r>
      <w:r>
        <w:rPr>
          <w:rFonts w:ascii="Calibri" w:hAnsi="Calibri" w:cs="Calibri"/>
          <w:bCs/>
        </w:rPr>
        <w:t xml:space="preserve">Instituta </w:t>
      </w:r>
      <w:r w:rsidRPr="00BB3074">
        <w:rPr>
          <w:rFonts w:ascii="Calibri" w:hAnsi="Calibri" w:cs="Calibri"/>
          <w:bCs/>
        </w:rPr>
        <w:t>za turizam, kojima se proučavaju istraživački problemi važni za razvoj dugoročno održivog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 xml:space="preserve">i tržišno konkurentnog turizma. Osim toga, znanstvenu djelatnost </w:t>
      </w:r>
      <w:r>
        <w:rPr>
          <w:rFonts w:ascii="Calibri" w:hAnsi="Calibri" w:cs="Calibri"/>
          <w:bCs/>
        </w:rPr>
        <w:t>Institut</w:t>
      </w:r>
      <w:r w:rsidRPr="00BB3074">
        <w:rPr>
          <w:rFonts w:ascii="Calibri" w:hAnsi="Calibri" w:cs="Calibri"/>
          <w:bCs/>
        </w:rPr>
        <w:t xml:space="preserve"> provodi i kroz objavljivanje znanstvenih radova u relevantnim domaćim i međunarodnim znanstvenim časopisima,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>kroz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 xml:space="preserve">sudjelovanje djelatnika </w:t>
      </w:r>
      <w:r>
        <w:rPr>
          <w:rFonts w:ascii="Calibri" w:hAnsi="Calibri" w:cs="Calibri"/>
          <w:bCs/>
        </w:rPr>
        <w:t>Instituta</w:t>
      </w:r>
      <w:r w:rsidRPr="00BB3074">
        <w:rPr>
          <w:rFonts w:ascii="Calibri" w:hAnsi="Calibri" w:cs="Calibri"/>
          <w:bCs/>
        </w:rPr>
        <w:t xml:space="preserve"> na međunarodnim znanstvenim skupovima, kroz izdavačku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>djelatnost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 xml:space="preserve">i izdavanje međunarodnog znanstveno-stručnog časopisa </w:t>
      </w:r>
      <w:r w:rsidR="0045558E" w:rsidRPr="0045558E">
        <w:rPr>
          <w:rFonts w:ascii="Calibri" w:hAnsi="Calibri" w:cs="Calibri"/>
          <w:bCs/>
        </w:rPr>
        <w:t xml:space="preserve">Tourism: An International Interdisciplinary Journal </w:t>
      </w:r>
      <w:r w:rsidRPr="00BB3074">
        <w:rPr>
          <w:rFonts w:ascii="Calibri" w:hAnsi="Calibri" w:cs="Calibri"/>
          <w:bCs/>
        </w:rPr>
        <w:t>te kroz cijeli niz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 xml:space="preserve">drugih </w:t>
      </w:r>
      <w:r>
        <w:rPr>
          <w:rFonts w:ascii="Calibri" w:hAnsi="Calibri" w:cs="Calibri"/>
          <w:bCs/>
        </w:rPr>
        <w:t xml:space="preserve">aktivnosti </w:t>
      </w:r>
      <w:r w:rsidRPr="00BB3074">
        <w:rPr>
          <w:rFonts w:ascii="Calibri" w:hAnsi="Calibri" w:cs="Calibri"/>
          <w:bCs/>
        </w:rPr>
        <w:t xml:space="preserve">usmjerenih na diseminaciju znanja i popularizaciju </w:t>
      </w:r>
      <w:r>
        <w:rPr>
          <w:rFonts w:ascii="Calibri" w:hAnsi="Calibri" w:cs="Calibri"/>
          <w:bCs/>
        </w:rPr>
        <w:t>znanosti</w:t>
      </w:r>
      <w:r w:rsidRPr="00BB3074">
        <w:rPr>
          <w:rFonts w:ascii="Calibri" w:hAnsi="Calibri" w:cs="Calibri"/>
          <w:bCs/>
        </w:rPr>
        <w:t xml:space="preserve"> . Uzimajući u obzir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>kadrovsku ekipiranost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 xml:space="preserve">djelatnika, njihove znanstvene interese i </w:t>
      </w:r>
      <w:r>
        <w:rPr>
          <w:rFonts w:ascii="Calibri" w:hAnsi="Calibri" w:cs="Calibri"/>
          <w:bCs/>
        </w:rPr>
        <w:t>afinitete</w:t>
      </w:r>
      <w:r w:rsidRPr="00BB3074">
        <w:rPr>
          <w:rFonts w:ascii="Calibri" w:hAnsi="Calibri" w:cs="Calibri"/>
          <w:bCs/>
        </w:rPr>
        <w:t xml:space="preserve">, dostupnost izvora financiranja, potrebe </w:t>
      </w:r>
      <w:r>
        <w:rPr>
          <w:rFonts w:ascii="Calibri" w:hAnsi="Calibri" w:cs="Calibri"/>
          <w:bCs/>
        </w:rPr>
        <w:t xml:space="preserve">turističkog </w:t>
      </w:r>
      <w:r w:rsidRPr="00BB3074">
        <w:rPr>
          <w:rFonts w:ascii="Calibri" w:hAnsi="Calibri" w:cs="Calibri"/>
          <w:bCs/>
        </w:rPr>
        <w:t xml:space="preserve">gospodarstva i sl., </w:t>
      </w:r>
      <w:r>
        <w:rPr>
          <w:rFonts w:ascii="Calibri" w:hAnsi="Calibri" w:cs="Calibri"/>
          <w:bCs/>
        </w:rPr>
        <w:t>Institut</w:t>
      </w:r>
      <w:r w:rsidRPr="00BB3074">
        <w:rPr>
          <w:rFonts w:ascii="Calibri" w:hAnsi="Calibri" w:cs="Calibri"/>
          <w:bCs/>
        </w:rPr>
        <w:t xml:space="preserve"> za turizam se kroz svoju znanstvenu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>djelatnost ponajviše bavi temama s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 xml:space="preserve">područja ekonomike turizma, ali se djelatnici </w:t>
      </w:r>
      <w:r>
        <w:rPr>
          <w:rFonts w:ascii="Calibri" w:hAnsi="Calibri" w:cs="Calibri"/>
          <w:bCs/>
        </w:rPr>
        <w:t xml:space="preserve">Instituta </w:t>
      </w:r>
      <w:r w:rsidRPr="00BB3074">
        <w:rPr>
          <w:rFonts w:ascii="Calibri" w:hAnsi="Calibri" w:cs="Calibri"/>
          <w:bCs/>
        </w:rPr>
        <w:t xml:space="preserve">također </w:t>
      </w:r>
      <w:r>
        <w:rPr>
          <w:rFonts w:ascii="Calibri" w:hAnsi="Calibri" w:cs="Calibri"/>
          <w:bCs/>
        </w:rPr>
        <w:t>aktivno</w:t>
      </w:r>
      <w:r w:rsidRPr="00BB3074">
        <w:rPr>
          <w:rFonts w:ascii="Calibri" w:hAnsi="Calibri" w:cs="Calibri"/>
          <w:bCs/>
        </w:rPr>
        <w:t xml:space="preserve"> bave proučavanjem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>međuodnosa turizma i drugih područja, kao što su promet,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>geografija, urbanizam i prostorno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>p</w:t>
      </w:r>
      <w:r>
        <w:rPr>
          <w:rFonts w:ascii="Calibri" w:hAnsi="Calibri" w:cs="Calibri"/>
          <w:bCs/>
        </w:rPr>
        <w:t>l</w:t>
      </w:r>
      <w:r w:rsidRPr="00BB3074">
        <w:rPr>
          <w:rFonts w:ascii="Calibri" w:hAnsi="Calibri" w:cs="Calibri"/>
          <w:bCs/>
        </w:rPr>
        <w:t xml:space="preserve">aniranje, ekologija i </w:t>
      </w:r>
      <w:r>
        <w:rPr>
          <w:rFonts w:ascii="Calibri" w:hAnsi="Calibri" w:cs="Calibri"/>
          <w:bCs/>
        </w:rPr>
        <w:t>zaštita</w:t>
      </w:r>
      <w:r w:rsidRPr="00BB3074">
        <w:rPr>
          <w:rFonts w:ascii="Calibri" w:hAnsi="Calibri" w:cs="Calibri"/>
          <w:bCs/>
        </w:rPr>
        <w:t xml:space="preserve"> okoliša, održivi razvoj, povijesni</w:t>
      </w:r>
      <w:r>
        <w:rPr>
          <w:rFonts w:ascii="Calibri" w:hAnsi="Calibri" w:cs="Calibri"/>
          <w:bCs/>
        </w:rPr>
        <w:t xml:space="preserve"> </w:t>
      </w:r>
      <w:r w:rsidRPr="00BB3074">
        <w:rPr>
          <w:rFonts w:ascii="Calibri" w:hAnsi="Calibri" w:cs="Calibri"/>
          <w:bCs/>
        </w:rPr>
        <w:t>razvoj turizma i sl.</w:t>
      </w:r>
    </w:p>
    <w:p w14:paraId="3B348ABA" w14:textId="6C24527E" w:rsidR="001243E6" w:rsidRPr="0078380B" w:rsidRDefault="001243E6" w:rsidP="001243E6">
      <w:pPr>
        <w:spacing w:line="360" w:lineRule="auto"/>
        <w:jc w:val="both"/>
        <w:rPr>
          <w:rFonts w:ascii="Calibri" w:hAnsi="Calibri" w:cs="Calibri"/>
          <w:bCs/>
        </w:rPr>
      </w:pPr>
      <w:r w:rsidRPr="0078380B">
        <w:rPr>
          <w:rFonts w:ascii="Calibri" w:hAnsi="Calibri" w:cs="Calibri"/>
          <w:bCs/>
        </w:rPr>
        <w:t xml:space="preserve">Institut za turizam se posljednjih desetak godina bavi pretežito primijenjenim i razvojnim istraživanjima u turizmu, stavljajući sve veći naglasak na ishode znanstvenog rada i vrednovanje svoje organizacijske efikasnosti i racionalnosti. Vjerujemo da rezultatima svog znanstveno-istraživačkog i stručnog rada kontinuirano stvaramo </w:t>
      </w:r>
      <w:r w:rsidR="00105F31">
        <w:rPr>
          <w:rFonts w:ascii="Calibri" w:hAnsi="Calibri" w:cs="Calibri"/>
          <w:bCs/>
        </w:rPr>
        <w:t xml:space="preserve">analitičke </w:t>
      </w:r>
      <w:r w:rsidRPr="0078380B">
        <w:rPr>
          <w:rFonts w:ascii="Calibri" w:hAnsi="Calibri" w:cs="Calibri"/>
          <w:bCs/>
        </w:rPr>
        <w:t xml:space="preserve">podloge za </w:t>
      </w:r>
      <w:r w:rsidR="00105F31">
        <w:rPr>
          <w:rFonts w:ascii="Calibri" w:hAnsi="Calibri" w:cs="Calibri"/>
          <w:bCs/>
        </w:rPr>
        <w:t>podizanje kvalitete</w:t>
      </w:r>
      <w:r w:rsidRPr="0078380B">
        <w:rPr>
          <w:rFonts w:ascii="Calibri" w:hAnsi="Calibri" w:cs="Calibri"/>
          <w:bCs/>
        </w:rPr>
        <w:t xml:space="preserve"> turističk</w:t>
      </w:r>
      <w:r w:rsidR="00105F31">
        <w:rPr>
          <w:rFonts w:ascii="Calibri" w:hAnsi="Calibri" w:cs="Calibri"/>
          <w:bCs/>
        </w:rPr>
        <w:t>e</w:t>
      </w:r>
      <w:r w:rsidRPr="0078380B">
        <w:rPr>
          <w:rFonts w:ascii="Calibri" w:hAnsi="Calibri" w:cs="Calibri"/>
          <w:bCs/>
        </w:rPr>
        <w:t xml:space="preserve"> politik</w:t>
      </w:r>
      <w:r w:rsidR="00105F31">
        <w:rPr>
          <w:rFonts w:ascii="Calibri" w:hAnsi="Calibri" w:cs="Calibri"/>
          <w:bCs/>
        </w:rPr>
        <w:t>e</w:t>
      </w:r>
      <w:r w:rsidRPr="0078380B">
        <w:rPr>
          <w:rFonts w:ascii="Calibri" w:hAnsi="Calibri" w:cs="Calibri"/>
          <w:bCs/>
        </w:rPr>
        <w:t xml:space="preserve"> te da smo svojim djelovanjem znatno unaprijedili obrazovni sustav vezan uz turizam te savjetodavnim radom pridonijeli održivom turističkom razvoju brojnih turističkih mjesta u Hrvatskoj. Njegujući izvrsnost, timski rad i </w:t>
      </w:r>
      <w:r w:rsidRPr="0078380B">
        <w:rPr>
          <w:rFonts w:ascii="Calibri" w:hAnsi="Calibri" w:cs="Calibri"/>
          <w:bCs/>
        </w:rPr>
        <w:lastRenderedPageBreak/>
        <w:t xml:space="preserve">suradnju, svojom znanstveno-istraživačkom aktivnošću, edukativnim i savjetodavnim radom te izdavačkom djelatnošću Institut za turizam stekao je međunarodnu prepoznatljivost koja je posljednjih godina sve vidljivija kroz suradnju s relevantnim </w:t>
      </w:r>
      <w:r w:rsidR="00551F58">
        <w:rPr>
          <w:rFonts w:ascii="Calibri" w:hAnsi="Calibri" w:cs="Calibri"/>
          <w:bCs/>
        </w:rPr>
        <w:t xml:space="preserve">znanstvenicima i stručnjacima s područja turizma </w:t>
      </w:r>
      <w:r w:rsidRPr="0078380B">
        <w:rPr>
          <w:rFonts w:ascii="Calibri" w:hAnsi="Calibri" w:cs="Calibri"/>
          <w:bCs/>
        </w:rPr>
        <w:t xml:space="preserve">kao i </w:t>
      </w:r>
      <w:r w:rsidR="00551F58">
        <w:rPr>
          <w:rFonts w:ascii="Calibri" w:hAnsi="Calibri" w:cs="Calibri"/>
          <w:bCs/>
        </w:rPr>
        <w:t>kroz suradnju</w:t>
      </w:r>
      <w:r w:rsidRPr="0078380B">
        <w:rPr>
          <w:rFonts w:ascii="Calibri" w:hAnsi="Calibri" w:cs="Calibri"/>
          <w:bCs/>
        </w:rPr>
        <w:t xml:space="preserve"> s</w:t>
      </w:r>
      <w:r w:rsidR="00551F58">
        <w:rPr>
          <w:rFonts w:ascii="Calibri" w:hAnsi="Calibri" w:cs="Calibri"/>
          <w:bCs/>
        </w:rPr>
        <w:t>a</w:t>
      </w:r>
      <w:r w:rsidRPr="0078380B">
        <w:rPr>
          <w:rFonts w:ascii="Calibri" w:hAnsi="Calibri" w:cs="Calibri"/>
          <w:bCs/>
        </w:rPr>
        <w:t xml:space="preserve"> Svjetskom turističkom organizacijom</w:t>
      </w:r>
      <w:r w:rsidR="00D1654A">
        <w:rPr>
          <w:rFonts w:ascii="Calibri" w:hAnsi="Calibri" w:cs="Calibri"/>
          <w:bCs/>
        </w:rPr>
        <w:t xml:space="preserve">, Europskom komisijom, OECD-om i brojnim drugim </w:t>
      </w:r>
      <w:r w:rsidR="00551F58">
        <w:rPr>
          <w:rFonts w:ascii="Calibri" w:hAnsi="Calibri" w:cs="Calibri"/>
          <w:bCs/>
        </w:rPr>
        <w:t>međunarodnim organizacijama koje se bave složenim društvenim i ekonomskim pitanjima</w:t>
      </w:r>
      <w:r w:rsidR="00CE294B">
        <w:rPr>
          <w:rFonts w:ascii="Calibri" w:hAnsi="Calibri" w:cs="Calibri"/>
          <w:bCs/>
        </w:rPr>
        <w:t>.</w:t>
      </w:r>
    </w:p>
    <w:p w14:paraId="69BAC3BB" w14:textId="7AEAB5A1" w:rsidR="001243E6" w:rsidRDefault="001243E6" w:rsidP="001243E6">
      <w:pPr>
        <w:spacing w:line="360" w:lineRule="auto"/>
        <w:jc w:val="both"/>
        <w:rPr>
          <w:rFonts w:ascii="Calibri" w:hAnsi="Calibri" w:cs="Calibri"/>
          <w:bCs/>
        </w:rPr>
      </w:pPr>
      <w:r w:rsidRPr="0078380B">
        <w:rPr>
          <w:rFonts w:ascii="Calibri" w:hAnsi="Calibri" w:cs="Calibri"/>
          <w:bCs/>
        </w:rPr>
        <w:t xml:space="preserve">Misija Instituta za turizam jest </w:t>
      </w:r>
      <w:r w:rsidR="00CE294B">
        <w:rPr>
          <w:rFonts w:ascii="Calibri" w:hAnsi="Calibri" w:cs="Calibri"/>
          <w:bCs/>
        </w:rPr>
        <w:t>proučavanje i istraživanje</w:t>
      </w:r>
      <w:r w:rsidRPr="0078380B">
        <w:rPr>
          <w:rFonts w:ascii="Calibri" w:hAnsi="Calibri" w:cs="Calibri"/>
          <w:bCs/>
        </w:rPr>
        <w:t xml:space="preserve"> različitih obilježja </w:t>
      </w:r>
      <w:r w:rsidR="00CE294B">
        <w:rPr>
          <w:rFonts w:ascii="Calibri" w:hAnsi="Calibri" w:cs="Calibri"/>
          <w:bCs/>
        </w:rPr>
        <w:t xml:space="preserve">složenog i </w:t>
      </w:r>
      <w:r w:rsidRPr="0078380B">
        <w:rPr>
          <w:rFonts w:ascii="Calibri" w:hAnsi="Calibri" w:cs="Calibri"/>
          <w:bCs/>
        </w:rPr>
        <w:t>multidisciplinarnog fenomena turizma, popularizacija rezultata istraživanja i prijenos</w:t>
      </w:r>
      <w:r w:rsidR="00551F58">
        <w:rPr>
          <w:rFonts w:ascii="Calibri" w:hAnsi="Calibri" w:cs="Calibri"/>
          <w:bCs/>
        </w:rPr>
        <w:t>/diseminacija</w:t>
      </w:r>
      <w:r w:rsidRPr="0078380B">
        <w:rPr>
          <w:rFonts w:ascii="Calibri" w:hAnsi="Calibri" w:cs="Calibri"/>
          <w:bCs/>
        </w:rPr>
        <w:t xml:space="preserve"> rezultata istraživanja u gospodarstvo i obrazovanje</w:t>
      </w:r>
      <w:r w:rsidR="00002AB3">
        <w:rPr>
          <w:rFonts w:ascii="Calibri" w:hAnsi="Calibri" w:cs="Calibri"/>
          <w:bCs/>
        </w:rPr>
        <w:t>.</w:t>
      </w:r>
      <w:r w:rsidRPr="0078380B">
        <w:rPr>
          <w:rFonts w:ascii="Calibri" w:hAnsi="Calibri" w:cs="Calibri"/>
          <w:bCs/>
        </w:rPr>
        <w:t xml:space="preserve"> </w:t>
      </w:r>
      <w:r w:rsidR="00002AB3">
        <w:rPr>
          <w:rFonts w:ascii="Calibri" w:hAnsi="Calibri" w:cs="Calibri"/>
          <w:bCs/>
        </w:rPr>
        <w:t>S</w:t>
      </w:r>
      <w:r w:rsidRPr="0078380B">
        <w:rPr>
          <w:rFonts w:ascii="Calibri" w:hAnsi="Calibri" w:cs="Calibri"/>
          <w:bCs/>
        </w:rPr>
        <w:t xml:space="preserve">toga </w:t>
      </w:r>
      <w:r w:rsidR="00002AB3">
        <w:rPr>
          <w:rFonts w:ascii="Calibri" w:hAnsi="Calibri" w:cs="Calibri"/>
          <w:bCs/>
        </w:rPr>
        <w:t>Institut</w:t>
      </w:r>
      <w:r w:rsidRPr="0078380B">
        <w:rPr>
          <w:rFonts w:ascii="Calibri" w:hAnsi="Calibri" w:cs="Calibri"/>
          <w:bCs/>
        </w:rPr>
        <w:t xml:space="preserve"> kontinuirano razvija vlastite metode istraživanja i popularizacijskim aktivnostima prenosi stečena znanja kako bi se misija Instituta</w:t>
      </w:r>
      <w:r w:rsidR="00002AB3">
        <w:rPr>
          <w:rFonts w:ascii="Calibri" w:hAnsi="Calibri" w:cs="Calibri"/>
          <w:bCs/>
        </w:rPr>
        <w:t xml:space="preserve"> koja je fokusirana na povezivanje turističke znanosti i prakse</w:t>
      </w:r>
      <w:r w:rsidRPr="0078380B">
        <w:rPr>
          <w:rFonts w:ascii="Calibri" w:hAnsi="Calibri" w:cs="Calibri"/>
          <w:bCs/>
        </w:rPr>
        <w:t xml:space="preserve"> u potpunosti</w:t>
      </w:r>
      <w:r w:rsidR="00002AB3">
        <w:rPr>
          <w:rFonts w:ascii="Calibri" w:hAnsi="Calibri" w:cs="Calibri"/>
          <w:bCs/>
        </w:rPr>
        <w:t xml:space="preserve"> realizirala</w:t>
      </w:r>
      <w:r w:rsidRPr="0078380B">
        <w:rPr>
          <w:rFonts w:ascii="Calibri" w:hAnsi="Calibri" w:cs="Calibri"/>
          <w:bCs/>
        </w:rPr>
        <w:t>. Ta misija Instituta ostaje nepromijenjena i kad je riječ o razdoblju 20</w:t>
      </w:r>
      <w:r>
        <w:rPr>
          <w:rFonts w:ascii="Calibri" w:hAnsi="Calibri" w:cs="Calibri"/>
          <w:bCs/>
        </w:rPr>
        <w:t>2</w:t>
      </w:r>
      <w:r w:rsidR="00551F58">
        <w:rPr>
          <w:rFonts w:ascii="Calibri" w:hAnsi="Calibri" w:cs="Calibri"/>
          <w:bCs/>
        </w:rPr>
        <w:t>3</w:t>
      </w:r>
      <w:r w:rsidRPr="0078380B">
        <w:rPr>
          <w:rFonts w:ascii="Calibri" w:hAnsi="Calibri" w:cs="Calibri"/>
          <w:bCs/>
        </w:rPr>
        <w:t>.-202</w:t>
      </w:r>
      <w:r w:rsidR="00551F58">
        <w:rPr>
          <w:rFonts w:ascii="Calibri" w:hAnsi="Calibri" w:cs="Calibri"/>
          <w:bCs/>
        </w:rPr>
        <w:t>5</w:t>
      </w:r>
      <w:r w:rsidRPr="0078380B">
        <w:rPr>
          <w:rFonts w:ascii="Calibri" w:hAnsi="Calibri" w:cs="Calibri"/>
          <w:bCs/>
        </w:rPr>
        <w:t>. godina.</w:t>
      </w:r>
      <w:r w:rsidR="00551F58">
        <w:rPr>
          <w:rFonts w:ascii="Calibri" w:hAnsi="Calibri" w:cs="Calibri"/>
          <w:bCs/>
        </w:rPr>
        <w:t xml:space="preserve"> Misija Instituta za turizam osobito je važna u kontekstu ukupnog društvenog i </w:t>
      </w:r>
      <w:r w:rsidR="000B0394">
        <w:rPr>
          <w:rFonts w:ascii="Calibri" w:hAnsi="Calibri" w:cs="Calibri"/>
          <w:bCs/>
        </w:rPr>
        <w:t>ekonomskog</w:t>
      </w:r>
      <w:r w:rsidR="00551F58">
        <w:rPr>
          <w:rFonts w:ascii="Calibri" w:hAnsi="Calibri" w:cs="Calibri"/>
          <w:bCs/>
        </w:rPr>
        <w:t xml:space="preserve"> razvoja Republike Hrvatske s obzirom </w:t>
      </w:r>
      <w:r w:rsidR="000B0394">
        <w:rPr>
          <w:rFonts w:ascii="Calibri" w:hAnsi="Calibri" w:cs="Calibri"/>
          <w:bCs/>
        </w:rPr>
        <w:t>na veliki značaj turizma na ukupno hrvatsko gospodarstvo t</w:t>
      </w:r>
      <w:r w:rsidR="0020627C">
        <w:rPr>
          <w:rFonts w:ascii="Calibri" w:hAnsi="Calibri" w:cs="Calibri"/>
          <w:bCs/>
        </w:rPr>
        <w:t>e</w:t>
      </w:r>
      <w:r w:rsidR="000B0394">
        <w:rPr>
          <w:rFonts w:ascii="Calibri" w:hAnsi="Calibri" w:cs="Calibri"/>
          <w:bCs/>
        </w:rPr>
        <w:t xml:space="preserve"> posljedično i na cijelo društvo, </w:t>
      </w:r>
      <w:r w:rsidR="0020627C">
        <w:rPr>
          <w:rFonts w:ascii="Calibri" w:hAnsi="Calibri" w:cs="Calibri"/>
          <w:bCs/>
        </w:rPr>
        <w:t>a što se najviše vidi</w:t>
      </w:r>
      <w:r w:rsidR="000B0394">
        <w:rPr>
          <w:rFonts w:ascii="Calibri" w:hAnsi="Calibri" w:cs="Calibri"/>
          <w:bCs/>
        </w:rPr>
        <w:t xml:space="preserve"> kroz </w:t>
      </w:r>
      <w:r w:rsidR="0020627C">
        <w:rPr>
          <w:rFonts w:ascii="Calibri" w:hAnsi="Calibri" w:cs="Calibri"/>
          <w:bCs/>
        </w:rPr>
        <w:t xml:space="preserve">značajan </w:t>
      </w:r>
      <w:r w:rsidR="000B0394">
        <w:rPr>
          <w:rFonts w:ascii="Calibri" w:hAnsi="Calibri" w:cs="Calibri"/>
          <w:bCs/>
        </w:rPr>
        <w:t xml:space="preserve">doprinos turizma BDP-u, kroz generiranje novih radnih mjesta te podizanje ukupne razine životnog standarda </w:t>
      </w:r>
      <w:r w:rsidR="0020627C">
        <w:rPr>
          <w:rFonts w:ascii="Calibri" w:hAnsi="Calibri" w:cs="Calibri"/>
          <w:bCs/>
        </w:rPr>
        <w:t>svih stanovnika Republike Hrvatske.</w:t>
      </w:r>
    </w:p>
    <w:p w14:paraId="4D30AD5C" w14:textId="77777777" w:rsidR="00F1785A" w:rsidRPr="0078380B" w:rsidRDefault="00F1785A" w:rsidP="001243E6">
      <w:pPr>
        <w:spacing w:line="360" w:lineRule="auto"/>
        <w:jc w:val="both"/>
        <w:rPr>
          <w:rFonts w:ascii="Calibri" w:hAnsi="Calibri" w:cs="Calibri"/>
          <w:bCs/>
        </w:rPr>
      </w:pPr>
    </w:p>
    <w:p w14:paraId="3CF3C5AF" w14:textId="0B0F77EE" w:rsidR="00EF05CF" w:rsidRPr="009D005B" w:rsidRDefault="002C1F90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</w:t>
      </w:r>
      <w:r w:rsidR="00F6792F">
        <w:rPr>
          <w:b/>
          <w:sz w:val="28"/>
        </w:rPr>
        <w:t>622150</w:t>
      </w:r>
      <w:r w:rsidR="00FB7AD8">
        <w:rPr>
          <w:b/>
          <w:sz w:val="28"/>
        </w:rPr>
        <w:t>/A622152</w:t>
      </w:r>
      <w:r w:rsidR="00CF752B">
        <w:rPr>
          <w:b/>
          <w:sz w:val="28"/>
        </w:rPr>
        <w:t xml:space="preserve"> PROGRAMSKO FINANCIRANJE JAVNIH INSTITUTA </w:t>
      </w:r>
    </w:p>
    <w:p w14:paraId="6EF3A1DD" w14:textId="6828C147" w:rsidR="00EF05CF" w:rsidRPr="00E02110" w:rsidRDefault="00EF05CF" w:rsidP="00EF05CF">
      <w:pPr>
        <w:spacing w:after="0"/>
        <w:jc w:val="both"/>
        <w:rPr>
          <w:rFonts w:cstheme="minorHAnsi"/>
          <w:iCs/>
        </w:rPr>
      </w:pPr>
      <w:r w:rsidRPr="00E02110">
        <w:rPr>
          <w:rFonts w:cstheme="minorHAnsi"/>
          <w:iCs/>
        </w:rPr>
        <w:t>Zakonske i druge pravne osnove</w:t>
      </w:r>
      <w:r w:rsidR="00F1785A" w:rsidRPr="00E02110">
        <w:rPr>
          <w:rFonts w:cstheme="minorHAnsi"/>
          <w:iCs/>
        </w:rPr>
        <w:t>:</w:t>
      </w:r>
    </w:p>
    <w:p w14:paraId="64648515" w14:textId="49EC5A00" w:rsidR="00C10222" w:rsidRPr="00E02110" w:rsidRDefault="00C10222" w:rsidP="00C1022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 xml:space="preserve">Zakon o ustanovama </w:t>
      </w:r>
    </w:p>
    <w:p w14:paraId="6B3ED5D1" w14:textId="4433295E" w:rsidR="001243E6" w:rsidRPr="00E02110" w:rsidRDefault="001243E6" w:rsidP="001243E6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bookmarkStart w:id="0" w:name="_Hlk115094499"/>
      <w:r w:rsidRPr="00E02110">
        <w:rPr>
          <w:rFonts w:ascii="Calibri" w:hAnsi="Calibri" w:cs="Calibri"/>
          <w:iCs/>
        </w:rPr>
        <w:t xml:space="preserve">Zakon o </w:t>
      </w:r>
      <w:r w:rsidR="00292CC1">
        <w:rPr>
          <w:rFonts w:ascii="Calibri" w:hAnsi="Calibri" w:cs="Calibri"/>
          <w:iCs/>
        </w:rPr>
        <w:t>visokom obrazovanju i znanstvenoj djelatnosti</w:t>
      </w:r>
    </w:p>
    <w:p w14:paraId="07011E0C" w14:textId="3BCEDAC8" w:rsidR="00C10222" w:rsidRPr="00E02110" w:rsidRDefault="00C10222" w:rsidP="001243E6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>Zakon o radu</w:t>
      </w:r>
    </w:p>
    <w:p w14:paraId="09ABEB8C" w14:textId="7DEC9F85" w:rsidR="003B090E" w:rsidRPr="00E02110" w:rsidRDefault="003B090E" w:rsidP="001243E6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>Zakon o zaštiti na radu</w:t>
      </w:r>
    </w:p>
    <w:p w14:paraId="7DE1464C" w14:textId="72A88626" w:rsidR="00C10222" w:rsidRPr="00E02110" w:rsidRDefault="00C10222" w:rsidP="001243E6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 xml:space="preserve">Zakon o plaćama u </w:t>
      </w:r>
      <w:r w:rsidR="00292CC1">
        <w:rPr>
          <w:rFonts w:ascii="Calibri" w:hAnsi="Calibri" w:cs="Calibri"/>
          <w:iCs/>
        </w:rPr>
        <w:t>državnoj i javnim službama</w:t>
      </w:r>
    </w:p>
    <w:p w14:paraId="52BC4BCB" w14:textId="5CA4E50D" w:rsidR="00C10222" w:rsidRPr="00E02110" w:rsidRDefault="003B090E" w:rsidP="00292CC1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 xml:space="preserve">Uredba o nazivima radnih mjesta </w:t>
      </w:r>
      <w:r w:rsidR="00292CC1">
        <w:rPr>
          <w:rFonts w:ascii="Calibri" w:hAnsi="Calibri" w:cs="Calibri"/>
          <w:iCs/>
        </w:rPr>
        <w:t>uvjeatima za raspored i koeficijentima za obračun plaća u javnim službama</w:t>
      </w:r>
    </w:p>
    <w:p w14:paraId="60B7C4AB" w14:textId="4289B499" w:rsidR="00C10222" w:rsidRPr="00E02110" w:rsidRDefault="00C10222" w:rsidP="00C1022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>Zakon o provedbi Opće uredbe o zaštiti podataka</w:t>
      </w:r>
    </w:p>
    <w:bookmarkEnd w:id="0"/>
    <w:p w14:paraId="42A1E1FB" w14:textId="18A850A5" w:rsidR="003B090E" w:rsidRPr="00E02110" w:rsidRDefault="00C10222" w:rsidP="003B090E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>Zakon o pravu na pristup informacijama</w:t>
      </w:r>
    </w:p>
    <w:p w14:paraId="0D4794D8" w14:textId="2E9F077A" w:rsidR="001243E6" w:rsidRDefault="001243E6" w:rsidP="00C1022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 xml:space="preserve">Pravilnik o </w:t>
      </w:r>
      <w:r w:rsidR="00292CC1">
        <w:rPr>
          <w:rFonts w:ascii="Calibri" w:hAnsi="Calibri" w:cs="Calibri"/>
          <w:iCs/>
        </w:rPr>
        <w:t xml:space="preserve">mjerilima i načinu korištenja namjenskih prihoda proračunskih korisnika iz nadležnosti Ministarstva znanosti, obrazovanja i mladih </w:t>
      </w:r>
    </w:p>
    <w:p w14:paraId="4C4B5F8C" w14:textId="51BF287A" w:rsidR="00292CC1" w:rsidRPr="00E02110" w:rsidRDefault="00292CC1" w:rsidP="00C1022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Pravilnik o mjerilima i načinu korištenja namjenskih prihoda proračunskih korisnika iz nadležnosti Ministarstva znanosti, obrazovanja i mladih</w:t>
      </w:r>
    </w:p>
    <w:p w14:paraId="0E25E010" w14:textId="77777777" w:rsidR="001243E6" w:rsidRPr="00E02110" w:rsidRDefault="001243E6" w:rsidP="00C1022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>Pravilnik o znanstvenim i umjetničkim područjima, poljima i granama</w:t>
      </w:r>
    </w:p>
    <w:p w14:paraId="5E118520" w14:textId="1A2CC7D0" w:rsidR="001243E6" w:rsidRDefault="00292CC1" w:rsidP="00C1022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lastRenderedPageBreak/>
        <w:t>Odluka o obliku i detaljnijem sadržaju dopusnice za rad visokog učilišta, odnosno znans</w:t>
      </w:r>
      <w:r w:rsidR="00692E04">
        <w:rPr>
          <w:rFonts w:ascii="Calibri" w:hAnsi="Calibri" w:cs="Calibri"/>
          <w:iCs/>
        </w:rPr>
        <w:t>t</w:t>
      </w:r>
      <w:r>
        <w:rPr>
          <w:rFonts w:ascii="Calibri" w:hAnsi="Calibri" w:cs="Calibri"/>
          <w:iCs/>
        </w:rPr>
        <w:t>venog instituta te dopusnice za izvođenje studija</w:t>
      </w:r>
    </w:p>
    <w:p w14:paraId="5DEA3426" w14:textId="6BFEE0FE" w:rsidR="00604791" w:rsidRPr="00E02110" w:rsidRDefault="005D780C" w:rsidP="00C1022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Uredba o programskom financiranju javnih visokih učilišta i javnih znanstvenih instituta u Republici Hrvatskoj</w:t>
      </w:r>
    </w:p>
    <w:p w14:paraId="612D091F" w14:textId="79815A16" w:rsidR="002C1F90" w:rsidRPr="00E02110" w:rsidRDefault="001243E6" w:rsidP="00C1022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>Pravilniku o uvjetima za izbor u znanstvena zvanja</w:t>
      </w:r>
    </w:p>
    <w:p w14:paraId="41772143" w14:textId="0FFB3C1A" w:rsidR="00C10222" w:rsidRDefault="00C10222" w:rsidP="00C10222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</w:rPr>
      </w:pPr>
      <w:r w:rsidRPr="00C10222">
        <w:rPr>
          <w:rFonts w:ascii="Calibri" w:hAnsi="Calibri" w:cs="Calibri"/>
        </w:rPr>
        <w:t xml:space="preserve">Pravilnik o unutarnjem </w:t>
      </w:r>
      <w:r w:rsidR="00692E04">
        <w:rPr>
          <w:rFonts w:ascii="Calibri" w:hAnsi="Calibri" w:cs="Calibri"/>
        </w:rPr>
        <w:t>ustrojstvu radnih mjesta</w:t>
      </w:r>
    </w:p>
    <w:p w14:paraId="6E7CCAD7" w14:textId="1CFFBF82" w:rsidR="00C10222" w:rsidRDefault="00C10222" w:rsidP="00C10222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Temeljni kolektivni ugovor za službenike i namještenike u javnim službama</w:t>
      </w:r>
    </w:p>
    <w:p w14:paraId="721B967D" w14:textId="7743AEFD" w:rsidR="00C10222" w:rsidRPr="00C10222" w:rsidRDefault="00C10222" w:rsidP="00C10222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Kolektivni ugovor za znanost i visoko obrazovanje</w:t>
      </w:r>
      <w:r w:rsidR="003B090E">
        <w:rPr>
          <w:rFonts w:ascii="Calibri" w:hAnsi="Calibri" w:cs="Calibri"/>
        </w:rPr>
        <w:t xml:space="preserve"> s dodatkom</w:t>
      </w:r>
    </w:p>
    <w:p w14:paraId="7269F14E" w14:textId="5F5E5887" w:rsidR="00CE294B" w:rsidRDefault="00CE294B" w:rsidP="00C1022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Statut Instituta za turizam</w:t>
      </w:r>
    </w:p>
    <w:p w14:paraId="6D0BCCA6" w14:textId="08B56989" w:rsidR="00CE294B" w:rsidRDefault="003B090E" w:rsidP="00C31E9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Ostali opći/interni akti Instituta za turizam</w:t>
      </w:r>
      <w:r w:rsidR="0045558E">
        <w:rPr>
          <w:rFonts w:ascii="Calibri" w:hAnsi="Calibri" w:cs="Calibri"/>
        </w:rPr>
        <w:t>.</w:t>
      </w:r>
    </w:p>
    <w:p w14:paraId="02CD8C52" w14:textId="77777777" w:rsidR="0045558E" w:rsidRPr="00E02110" w:rsidRDefault="0045558E" w:rsidP="00E02110">
      <w:pPr>
        <w:spacing w:after="200" w:line="360" w:lineRule="auto"/>
        <w:rPr>
          <w:rFonts w:ascii="Calibri" w:hAnsi="Calibr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0"/>
        <w:gridCol w:w="1505"/>
        <w:gridCol w:w="1507"/>
        <w:gridCol w:w="1506"/>
        <w:gridCol w:w="1506"/>
        <w:gridCol w:w="1508"/>
      </w:tblGrid>
      <w:tr w:rsidR="002246B7" w:rsidRPr="002246B7" w14:paraId="25B81E54" w14:textId="77777777" w:rsidTr="00F1785A">
        <w:tc>
          <w:tcPr>
            <w:tcW w:w="833" w:type="pct"/>
            <w:shd w:val="clear" w:color="auto" w:fill="D0CECE" w:themeFill="background2" w:themeFillShade="E6"/>
          </w:tcPr>
          <w:p w14:paraId="4C5DEA15" w14:textId="77777777" w:rsidR="002246B7" w:rsidRPr="002246B7" w:rsidRDefault="002246B7" w:rsidP="00A94A23">
            <w:pPr>
              <w:jc w:val="both"/>
            </w:pPr>
          </w:p>
        </w:tc>
        <w:tc>
          <w:tcPr>
            <w:tcW w:w="833" w:type="pct"/>
            <w:shd w:val="clear" w:color="auto" w:fill="D0CECE" w:themeFill="background2" w:themeFillShade="E6"/>
            <w:vAlign w:val="center"/>
          </w:tcPr>
          <w:p w14:paraId="3204E1BB" w14:textId="0903A983" w:rsidR="002246B7" w:rsidRPr="00E02110" w:rsidRDefault="00512AEF" w:rsidP="00615C0B">
            <w:pPr>
              <w:rPr>
                <w:b/>
                <w:bCs/>
              </w:rPr>
            </w:pPr>
            <w:r>
              <w:rPr>
                <w:b/>
                <w:bCs/>
              </w:rPr>
              <w:t>IZVRŠENJE</w:t>
            </w:r>
            <w:r w:rsidR="00615C0B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3</w:t>
            </w:r>
          </w:p>
        </w:tc>
        <w:tc>
          <w:tcPr>
            <w:tcW w:w="834" w:type="pct"/>
            <w:shd w:val="clear" w:color="auto" w:fill="D0CECE" w:themeFill="background2" w:themeFillShade="E6"/>
            <w:vAlign w:val="center"/>
          </w:tcPr>
          <w:p w14:paraId="005498E1" w14:textId="78EFC40F" w:rsidR="002246B7" w:rsidRPr="00E02110" w:rsidRDefault="00B812FF" w:rsidP="001243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  <w:r w:rsidR="002246B7" w:rsidRPr="00E02110">
              <w:rPr>
                <w:b/>
                <w:bCs/>
              </w:rPr>
              <w:t xml:space="preserve"> 202</w:t>
            </w:r>
            <w:r w:rsidR="00512AEF">
              <w:rPr>
                <w:b/>
                <w:bCs/>
              </w:rPr>
              <w:t>4</w:t>
            </w:r>
            <w:r w:rsidR="002246B7" w:rsidRPr="00E02110">
              <w:rPr>
                <w:b/>
                <w:bCs/>
              </w:rPr>
              <w:t>.</w:t>
            </w:r>
          </w:p>
        </w:tc>
        <w:tc>
          <w:tcPr>
            <w:tcW w:w="833" w:type="pct"/>
            <w:shd w:val="clear" w:color="auto" w:fill="D0CECE" w:themeFill="background2" w:themeFillShade="E6"/>
            <w:vAlign w:val="center"/>
          </w:tcPr>
          <w:p w14:paraId="4879B054" w14:textId="06D6947C" w:rsidR="002246B7" w:rsidRPr="00E02110" w:rsidRDefault="00B812FF" w:rsidP="001243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  <w:r w:rsidR="002246B7" w:rsidRPr="00E02110">
              <w:rPr>
                <w:b/>
                <w:bCs/>
              </w:rPr>
              <w:t xml:space="preserve"> 202</w:t>
            </w:r>
            <w:r w:rsidR="00512AEF">
              <w:rPr>
                <w:b/>
                <w:bCs/>
              </w:rPr>
              <w:t>5</w:t>
            </w:r>
            <w:r w:rsidR="002246B7" w:rsidRPr="00E02110">
              <w:rPr>
                <w:b/>
                <w:bCs/>
              </w:rPr>
              <w:t>.</w:t>
            </w:r>
          </w:p>
        </w:tc>
        <w:tc>
          <w:tcPr>
            <w:tcW w:w="833" w:type="pct"/>
            <w:shd w:val="clear" w:color="auto" w:fill="D0CECE" w:themeFill="background2" w:themeFillShade="E6"/>
            <w:vAlign w:val="center"/>
          </w:tcPr>
          <w:p w14:paraId="7F6E5005" w14:textId="06BDBBC9" w:rsidR="002246B7" w:rsidRPr="00E02110" w:rsidRDefault="00B812FF" w:rsidP="001243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  <w:r w:rsidR="002246B7" w:rsidRPr="00E02110">
              <w:rPr>
                <w:b/>
                <w:bCs/>
              </w:rPr>
              <w:t xml:space="preserve"> 202</w:t>
            </w:r>
            <w:r w:rsidR="00512AEF">
              <w:rPr>
                <w:b/>
                <w:bCs/>
              </w:rPr>
              <w:t>6</w:t>
            </w:r>
            <w:r w:rsidR="002246B7" w:rsidRPr="00E02110">
              <w:rPr>
                <w:b/>
                <w:bCs/>
              </w:rPr>
              <w:t>.</w:t>
            </w:r>
          </w:p>
        </w:tc>
        <w:tc>
          <w:tcPr>
            <w:tcW w:w="834" w:type="pct"/>
            <w:shd w:val="clear" w:color="auto" w:fill="D0CECE" w:themeFill="background2" w:themeFillShade="E6"/>
            <w:vAlign w:val="center"/>
          </w:tcPr>
          <w:p w14:paraId="4600BF4F" w14:textId="48991560" w:rsidR="002246B7" w:rsidRPr="00E02110" w:rsidRDefault="00512AEF" w:rsidP="001243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202</w:t>
            </w:r>
            <w:r w:rsidR="001E458F">
              <w:rPr>
                <w:b/>
                <w:bCs/>
              </w:rPr>
              <w:t>7</w:t>
            </w:r>
            <w:r w:rsidR="002246B7" w:rsidRPr="00E02110">
              <w:rPr>
                <w:b/>
                <w:bCs/>
              </w:rPr>
              <w:t>.</w:t>
            </w:r>
          </w:p>
        </w:tc>
      </w:tr>
      <w:tr w:rsidR="002246B7" w:rsidRPr="002246B7" w14:paraId="2C86D81B" w14:textId="77777777" w:rsidTr="00F1785A">
        <w:tc>
          <w:tcPr>
            <w:tcW w:w="833" w:type="pct"/>
          </w:tcPr>
          <w:p w14:paraId="709A2940" w14:textId="77777777" w:rsidR="002246B7" w:rsidRDefault="00CF752B" w:rsidP="00A94A23">
            <w:r w:rsidRPr="00FD2FC2">
              <w:t>A</w:t>
            </w:r>
            <w:r w:rsidR="00F6792F">
              <w:t xml:space="preserve">622150 </w:t>
            </w:r>
            <w:r w:rsidRPr="00FD2FC2">
              <w:t>PROGRAMSKO FINANCIRANJE JAVNIH ZNANSTVENIH INSTITUTA</w:t>
            </w:r>
          </w:p>
          <w:p w14:paraId="2370542F" w14:textId="14124F7E" w:rsidR="00B441D4" w:rsidRPr="002246B7" w:rsidRDefault="00B441D4" w:rsidP="00A94A23">
            <w:r>
              <w:t>A622152</w:t>
            </w:r>
            <w:r w:rsidR="00615C0B">
              <w:t>.007- PROGRAMSKI UGOVORI INSTITUTA</w:t>
            </w:r>
            <w:r>
              <w:t xml:space="preserve"> </w:t>
            </w:r>
          </w:p>
        </w:tc>
        <w:tc>
          <w:tcPr>
            <w:tcW w:w="833" w:type="pct"/>
            <w:shd w:val="clear" w:color="auto" w:fill="FFFFFF" w:themeFill="background1"/>
          </w:tcPr>
          <w:p w14:paraId="293A31B3" w14:textId="212042B8" w:rsidR="002246B7" w:rsidRDefault="001E458F" w:rsidP="00F1785A">
            <w:pPr>
              <w:jc w:val="right"/>
            </w:pPr>
            <w:r>
              <w:t>1.023.733</w:t>
            </w:r>
            <w:r w:rsidR="002246B7" w:rsidRPr="002246B7">
              <w:t xml:space="preserve"> EUR</w:t>
            </w:r>
          </w:p>
          <w:p w14:paraId="3DFA8278" w14:textId="77777777" w:rsidR="00B441D4" w:rsidRDefault="00B441D4" w:rsidP="00F1785A">
            <w:pPr>
              <w:jc w:val="right"/>
            </w:pPr>
          </w:p>
          <w:p w14:paraId="23D7F8A5" w14:textId="77777777" w:rsidR="00B441D4" w:rsidRDefault="00B441D4" w:rsidP="00F1785A">
            <w:pPr>
              <w:jc w:val="right"/>
            </w:pPr>
          </w:p>
          <w:p w14:paraId="24EC0747" w14:textId="77777777" w:rsidR="00B441D4" w:rsidRDefault="00B441D4" w:rsidP="00F1785A">
            <w:pPr>
              <w:jc w:val="right"/>
            </w:pPr>
          </w:p>
          <w:p w14:paraId="6384C561" w14:textId="77777777" w:rsidR="00B441D4" w:rsidRDefault="00B441D4" w:rsidP="00F1785A">
            <w:pPr>
              <w:jc w:val="right"/>
            </w:pPr>
          </w:p>
          <w:p w14:paraId="2BDCACFA" w14:textId="77777777" w:rsidR="00B441D4" w:rsidRDefault="00B441D4" w:rsidP="00F1785A">
            <w:pPr>
              <w:jc w:val="right"/>
            </w:pPr>
          </w:p>
          <w:p w14:paraId="4FB48A7E" w14:textId="0A0DFDF1" w:rsidR="00B441D4" w:rsidRPr="002246B7" w:rsidRDefault="00B441D4" w:rsidP="00F1785A">
            <w:pPr>
              <w:jc w:val="right"/>
            </w:pPr>
            <w:r>
              <w:t>-</w:t>
            </w:r>
          </w:p>
        </w:tc>
        <w:tc>
          <w:tcPr>
            <w:tcW w:w="834" w:type="pct"/>
          </w:tcPr>
          <w:p w14:paraId="0CA8A823" w14:textId="07096E05" w:rsidR="0039145C" w:rsidRDefault="001E458F" w:rsidP="00F1785A">
            <w:pPr>
              <w:jc w:val="right"/>
            </w:pPr>
            <w:r>
              <w:t>1.287.269</w:t>
            </w:r>
            <w:r w:rsidR="002246B7" w:rsidRPr="002246B7">
              <w:t xml:space="preserve"> EUR</w:t>
            </w:r>
          </w:p>
          <w:p w14:paraId="566C83C0" w14:textId="77777777" w:rsidR="00B441D4" w:rsidRDefault="00B441D4" w:rsidP="00F1785A">
            <w:pPr>
              <w:jc w:val="right"/>
            </w:pPr>
          </w:p>
          <w:p w14:paraId="5E75119E" w14:textId="77777777" w:rsidR="00B441D4" w:rsidRDefault="00B441D4" w:rsidP="00F1785A">
            <w:pPr>
              <w:jc w:val="right"/>
            </w:pPr>
          </w:p>
          <w:p w14:paraId="2BAB2503" w14:textId="77777777" w:rsidR="00B441D4" w:rsidRDefault="00B441D4" w:rsidP="00F1785A">
            <w:pPr>
              <w:jc w:val="right"/>
            </w:pPr>
          </w:p>
          <w:p w14:paraId="253AD970" w14:textId="77777777" w:rsidR="00B441D4" w:rsidRDefault="00B441D4" w:rsidP="00F1785A">
            <w:pPr>
              <w:jc w:val="right"/>
            </w:pPr>
          </w:p>
          <w:p w14:paraId="6E82B169" w14:textId="77777777" w:rsidR="00B441D4" w:rsidRDefault="00B441D4" w:rsidP="00F1785A">
            <w:pPr>
              <w:jc w:val="right"/>
            </w:pPr>
          </w:p>
          <w:p w14:paraId="08FE8A2F" w14:textId="540648BA" w:rsidR="00B441D4" w:rsidRDefault="00B441D4" w:rsidP="00F1785A">
            <w:pPr>
              <w:jc w:val="right"/>
            </w:pPr>
            <w:r>
              <w:t>74.450 EUR</w:t>
            </w:r>
          </w:p>
          <w:p w14:paraId="69F59912" w14:textId="77777777" w:rsidR="0039145C" w:rsidRDefault="0039145C" w:rsidP="00F1785A">
            <w:pPr>
              <w:jc w:val="right"/>
            </w:pPr>
          </w:p>
          <w:p w14:paraId="5C31ED7F" w14:textId="3D470E1F" w:rsidR="002246B7" w:rsidRPr="002246B7" w:rsidRDefault="002246B7" w:rsidP="00F1785A">
            <w:pPr>
              <w:jc w:val="right"/>
            </w:pPr>
            <w:r w:rsidRPr="002246B7">
              <w:t xml:space="preserve"> </w:t>
            </w:r>
          </w:p>
        </w:tc>
        <w:tc>
          <w:tcPr>
            <w:tcW w:w="833" w:type="pct"/>
          </w:tcPr>
          <w:p w14:paraId="57E49148" w14:textId="15A5E203" w:rsidR="002246B7" w:rsidRDefault="00615C0B" w:rsidP="00F1785A">
            <w:pPr>
              <w:jc w:val="right"/>
            </w:pPr>
            <w:r>
              <w:t>1.407.363</w:t>
            </w:r>
            <w:r w:rsidR="002246B7" w:rsidRPr="002246B7">
              <w:t xml:space="preserve"> EUR </w:t>
            </w:r>
          </w:p>
          <w:p w14:paraId="678F0083" w14:textId="77777777" w:rsidR="00B441D4" w:rsidRDefault="00B441D4" w:rsidP="00F1785A">
            <w:pPr>
              <w:jc w:val="right"/>
            </w:pPr>
          </w:p>
          <w:p w14:paraId="2BC06DA2" w14:textId="77777777" w:rsidR="00B441D4" w:rsidRDefault="00B441D4" w:rsidP="00F1785A">
            <w:pPr>
              <w:jc w:val="right"/>
            </w:pPr>
          </w:p>
          <w:p w14:paraId="3540AC03" w14:textId="77777777" w:rsidR="00B441D4" w:rsidRDefault="00B441D4" w:rsidP="00F1785A">
            <w:pPr>
              <w:jc w:val="right"/>
            </w:pPr>
          </w:p>
          <w:p w14:paraId="49BCF365" w14:textId="77777777" w:rsidR="00B441D4" w:rsidRDefault="00B441D4" w:rsidP="00F1785A">
            <w:pPr>
              <w:jc w:val="right"/>
            </w:pPr>
          </w:p>
          <w:p w14:paraId="4B872052" w14:textId="77777777" w:rsidR="00B441D4" w:rsidRDefault="00B441D4" w:rsidP="00F1785A">
            <w:pPr>
              <w:jc w:val="right"/>
            </w:pPr>
          </w:p>
          <w:p w14:paraId="0271064B" w14:textId="4C132476" w:rsidR="00B441D4" w:rsidRPr="002246B7" w:rsidRDefault="00B441D4" w:rsidP="00F1785A">
            <w:pPr>
              <w:jc w:val="right"/>
            </w:pPr>
            <w:r>
              <w:t>74.450 EUR</w:t>
            </w:r>
          </w:p>
        </w:tc>
        <w:tc>
          <w:tcPr>
            <w:tcW w:w="833" w:type="pct"/>
          </w:tcPr>
          <w:p w14:paraId="385DA2A8" w14:textId="5AA31386" w:rsidR="002246B7" w:rsidRDefault="00615C0B" w:rsidP="00F1785A">
            <w:pPr>
              <w:jc w:val="right"/>
            </w:pPr>
            <w:r>
              <w:t>1.407.363</w:t>
            </w:r>
            <w:r w:rsidR="002246B7" w:rsidRPr="002246B7">
              <w:t xml:space="preserve"> EUR</w:t>
            </w:r>
          </w:p>
          <w:p w14:paraId="5B938D1B" w14:textId="77777777" w:rsidR="00B441D4" w:rsidRDefault="00B441D4" w:rsidP="00F1785A">
            <w:pPr>
              <w:jc w:val="right"/>
            </w:pPr>
          </w:p>
          <w:p w14:paraId="7EDCEE12" w14:textId="77777777" w:rsidR="00B441D4" w:rsidRDefault="00B441D4" w:rsidP="00F1785A">
            <w:pPr>
              <w:jc w:val="right"/>
            </w:pPr>
          </w:p>
          <w:p w14:paraId="0E84069E" w14:textId="77777777" w:rsidR="00B441D4" w:rsidRDefault="00B441D4" w:rsidP="00F1785A">
            <w:pPr>
              <w:jc w:val="right"/>
            </w:pPr>
          </w:p>
          <w:p w14:paraId="36293422" w14:textId="77777777" w:rsidR="00B441D4" w:rsidRDefault="00B441D4" w:rsidP="00F1785A">
            <w:pPr>
              <w:jc w:val="right"/>
            </w:pPr>
          </w:p>
          <w:p w14:paraId="57B8EDAE" w14:textId="77777777" w:rsidR="00B441D4" w:rsidRDefault="00B441D4" w:rsidP="00F1785A">
            <w:pPr>
              <w:jc w:val="right"/>
            </w:pPr>
          </w:p>
          <w:p w14:paraId="450B26F7" w14:textId="7F9CDC5B" w:rsidR="00B441D4" w:rsidRPr="002246B7" w:rsidRDefault="00B441D4" w:rsidP="00F1785A">
            <w:pPr>
              <w:jc w:val="right"/>
            </w:pPr>
            <w:r>
              <w:t>74.450 EUR</w:t>
            </w:r>
          </w:p>
        </w:tc>
        <w:tc>
          <w:tcPr>
            <w:tcW w:w="834" w:type="pct"/>
          </w:tcPr>
          <w:p w14:paraId="0AEFC182" w14:textId="36F455BE" w:rsidR="00B441D4" w:rsidRDefault="00512AEF" w:rsidP="00F1785A">
            <w:pPr>
              <w:jc w:val="right"/>
            </w:pPr>
            <w:r>
              <w:t>1.407.363 EUR</w:t>
            </w:r>
          </w:p>
          <w:p w14:paraId="556A92EA" w14:textId="77777777" w:rsidR="00B441D4" w:rsidRDefault="00B441D4" w:rsidP="00F1785A">
            <w:pPr>
              <w:jc w:val="right"/>
            </w:pPr>
          </w:p>
          <w:p w14:paraId="43666A69" w14:textId="77777777" w:rsidR="00B441D4" w:rsidRDefault="00B441D4" w:rsidP="00F1785A">
            <w:pPr>
              <w:jc w:val="right"/>
            </w:pPr>
          </w:p>
          <w:p w14:paraId="5188E2C5" w14:textId="77777777" w:rsidR="00B441D4" w:rsidRDefault="00B441D4" w:rsidP="00F1785A">
            <w:pPr>
              <w:jc w:val="right"/>
            </w:pPr>
          </w:p>
          <w:p w14:paraId="73E0289B" w14:textId="77777777" w:rsidR="00B441D4" w:rsidRDefault="00B441D4" w:rsidP="00F1785A">
            <w:pPr>
              <w:jc w:val="right"/>
            </w:pPr>
          </w:p>
          <w:p w14:paraId="28EB67A6" w14:textId="77777777" w:rsidR="00B441D4" w:rsidRDefault="00B441D4" w:rsidP="00F1785A">
            <w:pPr>
              <w:jc w:val="right"/>
            </w:pPr>
          </w:p>
          <w:p w14:paraId="57E2A2A7" w14:textId="0170AE7D" w:rsidR="00B441D4" w:rsidRPr="002246B7" w:rsidRDefault="00512AEF" w:rsidP="00F1785A">
            <w:pPr>
              <w:jc w:val="right"/>
            </w:pPr>
            <w:r>
              <w:t>74.450 EUR</w:t>
            </w:r>
          </w:p>
        </w:tc>
      </w:tr>
    </w:tbl>
    <w:p w14:paraId="4C1D4BD0" w14:textId="574B8B05" w:rsidR="00EF05CF" w:rsidRDefault="00EF05CF" w:rsidP="00EF05CF">
      <w:pPr>
        <w:spacing w:before="240"/>
        <w:jc w:val="both"/>
        <w:rPr>
          <w:rFonts w:cstheme="minorHAnsi"/>
          <w:iCs/>
        </w:rPr>
      </w:pPr>
      <w:r w:rsidRPr="00B96E0C">
        <w:rPr>
          <w:rFonts w:cstheme="minorHAnsi"/>
          <w:iCs/>
        </w:rPr>
        <w:t>Ova aktivnost sastoji se od sljedećih elemenata:</w:t>
      </w:r>
    </w:p>
    <w:p w14:paraId="1AF259C2" w14:textId="7483D6F5" w:rsidR="00EF05CF" w:rsidRPr="00B96E0C" w:rsidRDefault="00166458" w:rsidP="00A45BAD">
      <w:pPr>
        <w:jc w:val="both"/>
        <w:rPr>
          <w:rFonts w:cstheme="minorHAnsi"/>
          <w:iCs/>
        </w:rPr>
      </w:pPr>
      <w:r w:rsidRPr="00B96E0C">
        <w:rPr>
          <w:rFonts w:cstheme="minorHAnsi"/>
          <w:iCs/>
        </w:rPr>
        <w:t>Rashodi za zaposlene</w:t>
      </w:r>
      <w:r w:rsidR="00FE3AA1" w:rsidRPr="00B96E0C">
        <w:rPr>
          <w:rFonts w:cstheme="minorHAnsi"/>
          <w:iCs/>
        </w:rPr>
        <w:t xml:space="preserve">, materijalni rashodi </w:t>
      </w:r>
      <w:r w:rsidR="00A45BAD" w:rsidRPr="00B96E0C">
        <w:rPr>
          <w:rFonts w:cstheme="minorHAnsi"/>
          <w:iCs/>
        </w:rPr>
        <w:t>sukladno zakonu i kolektivnom ugovoru,</w:t>
      </w:r>
      <w:r w:rsidR="006037A5">
        <w:rPr>
          <w:rFonts w:cstheme="minorHAnsi"/>
          <w:iCs/>
        </w:rPr>
        <w:t xml:space="preserve"> hladni pogon, trošak kapitalne opreme, f</w:t>
      </w:r>
      <w:r w:rsidR="006037A5" w:rsidRPr="00457DD6">
        <w:rPr>
          <w:rFonts w:cstheme="minorHAnsi"/>
          <w:iCs/>
        </w:rPr>
        <w:t xml:space="preserve">inanciranje institucijskih ciljeva (izdavanje znanstvenog časopisa </w:t>
      </w:r>
      <w:r w:rsidR="006037A5" w:rsidRPr="00BD59FD">
        <w:rPr>
          <w:rFonts w:cstheme="minorHAnsi"/>
          <w:iCs/>
        </w:rPr>
        <w:t>Tourism: An International Interdisciplinary Journal</w:t>
      </w:r>
      <w:r w:rsidR="006037A5" w:rsidRPr="00457DD6">
        <w:rPr>
          <w:rFonts w:cstheme="minorHAnsi"/>
          <w:iCs/>
        </w:rPr>
        <w:t>, pokrića troškova znanstvene djelatnosti, materijalnih troškova redovnog poslovanja, odnosno hladnog pogona).</w:t>
      </w:r>
    </w:p>
    <w:p w14:paraId="6E6BF7BF" w14:textId="2710323F" w:rsidR="00F1785A" w:rsidRPr="00B96E0C" w:rsidRDefault="00F1785A" w:rsidP="00EF05CF">
      <w:pPr>
        <w:jc w:val="both"/>
        <w:rPr>
          <w:rFonts w:cstheme="minorHAnsi"/>
          <w:iCs/>
        </w:rPr>
      </w:pPr>
    </w:p>
    <w:p w14:paraId="12E74E96" w14:textId="4EBE7B47" w:rsidR="0039145C" w:rsidRDefault="00EF05CF" w:rsidP="00EF05CF">
      <w:pPr>
        <w:spacing w:after="0"/>
        <w:jc w:val="both"/>
        <w:rPr>
          <w:rFonts w:cstheme="minorHAnsi"/>
          <w:iCs/>
        </w:rPr>
      </w:pPr>
      <w:r w:rsidRPr="00B96E0C">
        <w:rPr>
          <w:rFonts w:cstheme="minorHAnsi"/>
          <w:iCs/>
        </w:rPr>
        <w:t>Izračun financijskog plana:</w:t>
      </w:r>
    </w:p>
    <w:p w14:paraId="798D1552" w14:textId="5410300C" w:rsidR="0039145C" w:rsidRPr="0039145C" w:rsidRDefault="0039145C" w:rsidP="00EF05CF">
      <w:pPr>
        <w:spacing w:after="0"/>
        <w:jc w:val="both"/>
        <w:rPr>
          <w:rFonts w:cstheme="minorHAnsi"/>
          <w:b/>
          <w:bCs/>
          <w:i/>
        </w:rPr>
      </w:pPr>
      <w:r w:rsidRPr="0039145C">
        <w:rPr>
          <w:rFonts w:cstheme="minorHAnsi"/>
          <w:b/>
          <w:bCs/>
          <w:i/>
        </w:rPr>
        <w:t>11</w:t>
      </w:r>
      <w:r>
        <w:rPr>
          <w:rFonts w:cstheme="minorHAnsi"/>
          <w:b/>
          <w:bCs/>
          <w:i/>
        </w:rPr>
        <w:t xml:space="preserve"> - </w:t>
      </w:r>
      <w:r w:rsidRPr="0039145C">
        <w:rPr>
          <w:rFonts w:cstheme="minorHAnsi"/>
          <w:b/>
          <w:bCs/>
          <w:i/>
        </w:rPr>
        <w:t xml:space="preserve"> Opći izvori i primici</w:t>
      </w:r>
    </w:p>
    <w:p w14:paraId="63135BF3" w14:textId="77777777" w:rsidR="00253DD8" w:rsidRPr="00F1785A" w:rsidRDefault="006C1B88" w:rsidP="00B96E0C">
      <w:pPr>
        <w:pStyle w:val="ListParagraph"/>
        <w:numPr>
          <w:ilvl w:val="0"/>
          <w:numId w:val="24"/>
        </w:numPr>
        <w:spacing w:after="0"/>
        <w:ind w:left="360"/>
        <w:jc w:val="both"/>
        <w:rPr>
          <w:rFonts w:cstheme="minorHAnsi"/>
          <w:b/>
          <w:bCs/>
          <w:iCs/>
        </w:rPr>
      </w:pPr>
      <w:r w:rsidRPr="00F1785A">
        <w:rPr>
          <w:rFonts w:cstheme="minorHAnsi"/>
          <w:b/>
          <w:bCs/>
          <w:iCs/>
        </w:rPr>
        <w:t>Rashodi za zaposlene</w:t>
      </w:r>
    </w:p>
    <w:p w14:paraId="78BB68B2" w14:textId="524E40FA" w:rsidR="00253DD8" w:rsidRPr="00B96E0C" w:rsidRDefault="00253DD8" w:rsidP="00B96E0C">
      <w:pPr>
        <w:ind w:left="138"/>
        <w:jc w:val="both"/>
        <w:rPr>
          <w:rFonts w:cstheme="minorHAnsi"/>
          <w:iCs/>
        </w:rPr>
      </w:pPr>
      <w:r w:rsidRPr="00B96E0C">
        <w:rPr>
          <w:rFonts w:cstheme="minorHAnsi"/>
          <w:iCs/>
        </w:rPr>
        <w:t>Planirani broj zaposlenih u 202</w:t>
      </w:r>
      <w:r w:rsidR="00B03C53">
        <w:rPr>
          <w:rFonts w:cstheme="minorHAnsi"/>
          <w:iCs/>
        </w:rPr>
        <w:t>5</w:t>
      </w:r>
      <w:r w:rsidRPr="00B96E0C">
        <w:rPr>
          <w:rFonts w:cstheme="minorHAnsi"/>
          <w:iCs/>
        </w:rPr>
        <w:t>.g. x iznos prosječne mjesečne plaće x 12 mjeseci + ostali rashodi za  zaposlene=</w:t>
      </w:r>
      <w:r w:rsidR="00B03C53">
        <w:rPr>
          <w:rFonts w:cstheme="minorHAnsi"/>
          <w:iCs/>
        </w:rPr>
        <w:t>1.305.657</w:t>
      </w:r>
      <w:r w:rsidR="00617D0F" w:rsidRPr="00B96E0C">
        <w:rPr>
          <w:rFonts w:cstheme="minorHAnsi"/>
          <w:iCs/>
        </w:rPr>
        <w:t xml:space="preserve"> EUR</w:t>
      </w:r>
      <w:r w:rsidR="00A45BAD" w:rsidRPr="00B96E0C">
        <w:rPr>
          <w:rFonts w:cstheme="minorHAnsi"/>
          <w:iCs/>
        </w:rPr>
        <w:t>.</w:t>
      </w:r>
    </w:p>
    <w:p w14:paraId="48AC6954" w14:textId="55D5948D" w:rsidR="00253DD8" w:rsidRPr="00B96E0C" w:rsidRDefault="00253DD8" w:rsidP="00B96E0C">
      <w:pPr>
        <w:ind w:left="138"/>
        <w:jc w:val="both"/>
        <w:rPr>
          <w:rFonts w:cstheme="minorHAnsi"/>
          <w:iCs/>
        </w:rPr>
      </w:pPr>
      <w:r w:rsidRPr="00B96E0C">
        <w:rPr>
          <w:rFonts w:cstheme="minorHAnsi"/>
          <w:iCs/>
        </w:rPr>
        <w:t>Broj zaposlenih u 202</w:t>
      </w:r>
      <w:r w:rsidR="00B03C53">
        <w:rPr>
          <w:rFonts w:cstheme="minorHAnsi"/>
          <w:iCs/>
        </w:rPr>
        <w:t>6</w:t>
      </w:r>
      <w:r w:rsidRPr="00B96E0C">
        <w:rPr>
          <w:rFonts w:cstheme="minorHAnsi"/>
          <w:iCs/>
        </w:rPr>
        <w:t>.g. x iznos prosječne mjesečne plaće x 12 mjeseci + ostali rashodi za  zaposlene=</w:t>
      </w:r>
      <w:r w:rsidR="00B03C53">
        <w:rPr>
          <w:rFonts w:cstheme="minorHAnsi"/>
          <w:iCs/>
        </w:rPr>
        <w:t>1.305.657</w:t>
      </w:r>
      <w:r w:rsidR="00617D0F" w:rsidRPr="00B96E0C">
        <w:rPr>
          <w:rFonts w:cstheme="minorHAnsi"/>
          <w:iCs/>
        </w:rPr>
        <w:t xml:space="preserve"> EUR</w:t>
      </w:r>
      <w:r w:rsidR="00A45BAD" w:rsidRPr="00B96E0C">
        <w:rPr>
          <w:rFonts w:cstheme="minorHAnsi"/>
          <w:iCs/>
        </w:rPr>
        <w:t>.</w:t>
      </w:r>
    </w:p>
    <w:p w14:paraId="19518E50" w14:textId="516C5C82" w:rsidR="00253DD8" w:rsidRPr="00B96E0C" w:rsidRDefault="00253DD8" w:rsidP="00B96E0C">
      <w:pPr>
        <w:ind w:left="138"/>
        <w:jc w:val="both"/>
        <w:rPr>
          <w:rFonts w:cstheme="minorHAnsi"/>
          <w:iCs/>
        </w:rPr>
      </w:pPr>
      <w:r w:rsidRPr="00B96E0C">
        <w:rPr>
          <w:rFonts w:cstheme="minorHAnsi"/>
          <w:iCs/>
        </w:rPr>
        <w:t xml:space="preserve">Broj zaposlenih u </w:t>
      </w:r>
      <w:r w:rsidR="00B03C53">
        <w:rPr>
          <w:rFonts w:cstheme="minorHAnsi"/>
          <w:iCs/>
        </w:rPr>
        <w:t>2027</w:t>
      </w:r>
      <w:r w:rsidRPr="00B96E0C">
        <w:rPr>
          <w:rFonts w:cstheme="minorHAnsi"/>
          <w:iCs/>
        </w:rPr>
        <w:t>g. x iznos prosječne mjesečne plaće x 12 mjeseci + ostali rashodi za  zaposlene=</w:t>
      </w:r>
      <w:r w:rsidR="0039145C">
        <w:rPr>
          <w:rFonts w:cstheme="minorHAnsi"/>
          <w:iCs/>
        </w:rPr>
        <w:t>1</w:t>
      </w:r>
      <w:r w:rsidR="00BD3973">
        <w:rPr>
          <w:rFonts w:cstheme="minorHAnsi"/>
          <w:iCs/>
        </w:rPr>
        <w:t>305.657</w:t>
      </w:r>
      <w:r w:rsidR="00617D0F" w:rsidRPr="00B96E0C">
        <w:rPr>
          <w:rFonts w:cstheme="minorHAnsi"/>
          <w:iCs/>
        </w:rPr>
        <w:t xml:space="preserve"> EUR</w:t>
      </w:r>
      <w:r w:rsidR="00F1785A">
        <w:rPr>
          <w:rFonts w:cstheme="minorHAnsi"/>
          <w:iCs/>
        </w:rPr>
        <w:t>.</w:t>
      </w:r>
    </w:p>
    <w:p w14:paraId="68CD61E3" w14:textId="77777777" w:rsidR="00253DD8" w:rsidRPr="00F1785A" w:rsidRDefault="006C1B88" w:rsidP="00B96E0C">
      <w:pPr>
        <w:pStyle w:val="ListParagraph"/>
        <w:numPr>
          <w:ilvl w:val="0"/>
          <w:numId w:val="24"/>
        </w:numPr>
        <w:spacing w:after="0"/>
        <w:ind w:left="360"/>
        <w:jc w:val="both"/>
        <w:rPr>
          <w:rFonts w:cstheme="minorHAnsi"/>
          <w:b/>
          <w:bCs/>
          <w:iCs/>
        </w:rPr>
      </w:pPr>
      <w:r w:rsidRPr="00F1785A">
        <w:rPr>
          <w:rFonts w:cstheme="minorHAnsi"/>
          <w:b/>
          <w:bCs/>
          <w:iCs/>
        </w:rPr>
        <w:t>Materijalni rashodi</w:t>
      </w:r>
    </w:p>
    <w:p w14:paraId="2A311E9A" w14:textId="658FFEC5" w:rsidR="00253DD8" w:rsidRDefault="006037A5" w:rsidP="00B96E0C">
      <w:pPr>
        <w:pStyle w:val="ListParagraph"/>
        <w:ind w:left="218"/>
        <w:jc w:val="both"/>
        <w:rPr>
          <w:rFonts w:cstheme="minorHAnsi"/>
          <w:iCs/>
        </w:rPr>
      </w:pPr>
      <w:r>
        <w:rPr>
          <w:rFonts w:cstheme="minorHAnsi"/>
          <w:iCs/>
        </w:rPr>
        <w:lastRenderedPageBreak/>
        <w:t>P</w:t>
      </w:r>
      <w:r w:rsidR="00253DD8" w:rsidRPr="00B96E0C">
        <w:rPr>
          <w:rFonts w:cstheme="minorHAnsi"/>
          <w:iCs/>
        </w:rPr>
        <w:t xml:space="preserve">laniraju se u visini </w:t>
      </w:r>
      <w:r>
        <w:rPr>
          <w:rFonts w:cstheme="minorHAnsi"/>
          <w:iCs/>
        </w:rPr>
        <w:t>93.419</w:t>
      </w:r>
      <w:r w:rsidR="00617D0F" w:rsidRPr="00B96E0C">
        <w:rPr>
          <w:rFonts w:cstheme="minorHAnsi"/>
          <w:iCs/>
        </w:rPr>
        <w:t xml:space="preserve"> EUR</w:t>
      </w:r>
      <w:r w:rsidR="00253DD8" w:rsidRPr="00B96E0C">
        <w:rPr>
          <w:rFonts w:cstheme="minorHAnsi"/>
          <w:iCs/>
        </w:rPr>
        <w:t xml:space="preserve"> u 202</w:t>
      </w:r>
      <w:r w:rsidR="00BD3973">
        <w:rPr>
          <w:rFonts w:cstheme="minorHAnsi"/>
          <w:iCs/>
        </w:rPr>
        <w:t>5</w:t>
      </w:r>
      <w:r w:rsidR="001607C0" w:rsidRPr="00B96E0C">
        <w:rPr>
          <w:rFonts w:cstheme="minorHAnsi"/>
          <w:iCs/>
        </w:rPr>
        <w:t>.</w:t>
      </w:r>
      <w:r w:rsidR="002246B7" w:rsidRPr="00B96E0C">
        <w:rPr>
          <w:rFonts w:cstheme="minorHAnsi"/>
          <w:iCs/>
        </w:rPr>
        <w:t xml:space="preserve"> </w:t>
      </w:r>
      <w:r w:rsidR="001607C0" w:rsidRPr="00B96E0C">
        <w:rPr>
          <w:rFonts w:cstheme="minorHAnsi"/>
          <w:iCs/>
        </w:rPr>
        <w:t>g</w:t>
      </w:r>
      <w:r w:rsidR="00417B77">
        <w:rPr>
          <w:rFonts w:cstheme="minorHAnsi"/>
          <w:iCs/>
        </w:rPr>
        <w:t>,  202</w:t>
      </w:r>
      <w:r w:rsidR="00BD3973">
        <w:rPr>
          <w:rFonts w:cstheme="minorHAnsi"/>
          <w:iCs/>
        </w:rPr>
        <w:t>6</w:t>
      </w:r>
      <w:r w:rsidR="00417B77">
        <w:rPr>
          <w:rFonts w:cstheme="minorHAnsi"/>
          <w:iCs/>
        </w:rPr>
        <w:t xml:space="preserve">.g i </w:t>
      </w:r>
      <w:r w:rsidR="00253DD8" w:rsidRPr="00B96E0C">
        <w:rPr>
          <w:rFonts w:cstheme="minorHAnsi"/>
          <w:iCs/>
        </w:rPr>
        <w:t>20</w:t>
      </w:r>
      <w:r w:rsidR="00EE4036" w:rsidRPr="00B96E0C">
        <w:rPr>
          <w:rFonts w:cstheme="minorHAnsi"/>
          <w:iCs/>
        </w:rPr>
        <w:t>2</w:t>
      </w:r>
      <w:r w:rsidR="00BD3973">
        <w:rPr>
          <w:rFonts w:cstheme="minorHAnsi"/>
          <w:iCs/>
        </w:rPr>
        <w:t>7</w:t>
      </w:r>
      <w:r w:rsidR="00253DD8" w:rsidRPr="00B96E0C">
        <w:rPr>
          <w:rFonts w:cstheme="minorHAnsi"/>
          <w:iCs/>
        </w:rPr>
        <w:t>.</w:t>
      </w:r>
      <w:r w:rsidR="002246B7" w:rsidRPr="00B96E0C">
        <w:rPr>
          <w:rFonts w:cstheme="minorHAnsi"/>
          <w:iCs/>
        </w:rPr>
        <w:t xml:space="preserve"> </w:t>
      </w:r>
      <w:r w:rsidR="00253DD8" w:rsidRPr="00B96E0C">
        <w:rPr>
          <w:rFonts w:cstheme="minorHAnsi"/>
          <w:iCs/>
        </w:rPr>
        <w:t>g.</w:t>
      </w:r>
      <w:r w:rsidR="001607C0" w:rsidRPr="00B96E0C">
        <w:rPr>
          <w:rFonts w:cstheme="minorHAnsi"/>
          <w:iCs/>
        </w:rPr>
        <w:t xml:space="preserve"> </w:t>
      </w:r>
    </w:p>
    <w:p w14:paraId="6F37387E" w14:textId="0E74808C" w:rsidR="006037A5" w:rsidRDefault="006037A5" w:rsidP="006037A5">
      <w:pPr>
        <w:jc w:val="both"/>
        <w:rPr>
          <w:rFonts w:cstheme="minorHAnsi"/>
          <w:b/>
          <w:bCs/>
          <w:iCs/>
        </w:rPr>
      </w:pPr>
      <w:r w:rsidRPr="006037A5">
        <w:rPr>
          <w:rFonts w:cstheme="minorHAnsi"/>
          <w:b/>
          <w:bCs/>
          <w:iCs/>
        </w:rPr>
        <w:t>3.</w:t>
      </w:r>
      <w:r>
        <w:rPr>
          <w:rFonts w:cstheme="minorHAnsi"/>
          <w:b/>
          <w:bCs/>
          <w:iCs/>
        </w:rPr>
        <w:t xml:space="preserve">   Financijski rashodi</w:t>
      </w:r>
    </w:p>
    <w:p w14:paraId="5313E00D" w14:textId="7D7FC091" w:rsidR="006037A5" w:rsidRDefault="006037A5" w:rsidP="006037A5">
      <w:pPr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   Planiraju se u visini </w:t>
      </w:r>
      <w:r w:rsidR="00417B77">
        <w:rPr>
          <w:rFonts w:cstheme="minorHAnsi"/>
          <w:iCs/>
        </w:rPr>
        <w:t>561 EUR  u 202</w:t>
      </w:r>
      <w:r w:rsidR="00BD3973">
        <w:rPr>
          <w:rFonts w:cstheme="minorHAnsi"/>
          <w:iCs/>
        </w:rPr>
        <w:t>5</w:t>
      </w:r>
      <w:r w:rsidR="00417B77">
        <w:rPr>
          <w:rFonts w:cstheme="minorHAnsi"/>
          <w:iCs/>
        </w:rPr>
        <w:t>.g, 202</w:t>
      </w:r>
      <w:r w:rsidR="00BD3973">
        <w:rPr>
          <w:rFonts w:cstheme="minorHAnsi"/>
          <w:iCs/>
        </w:rPr>
        <w:t>6</w:t>
      </w:r>
      <w:r w:rsidR="00417B77">
        <w:rPr>
          <w:rFonts w:cstheme="minorHAnsi"/>
          <w:iCs/>
        </w:rPr>
        <w:t>.g. i 202</w:t>
      </w:r>
      <w:r w:rsidR="00BD3973">
        <w:rPr>
          <w:rFonts w:cstheme="minorHAnsi"/>
          <w:iCs/>
        </w:rPr>
        <w:t>7</w:t>
      </w:r>
      <w:r w:rsidR="00417B77">
        <w:rPr>
          <w:rFonts w:cstheme="minorHAnsi"/>
          <w:iCs/>
        </w:rPr>
        <w:t xml:space="preserve">.g. </w:t>
      </w:r>
    </w:p>
    <w:p w14:paraId="498772E1" w14:textId="71E5CC27" w:rsidR="00417B77" w:rsidRDefault="00417B77" w:rsidP="00417B77">
      <w:pPr>
        <w:jc w:val="both"/>
        <w:rPr>
          <w:rFonts w:cstheme="minorHAnsi"/>
          <w:b/>
          <w:bCs/>
          <w:iCs/>
        </w:rPr>
      </w:pPr>
      <w:r w:rsidRPr="00417B77">
        <w:rPr>
          <w:rFonts w:cstheme="minorHAnsi"/>
          <w:b/>
          <w:bCs/>
          <w:iCs/>
        </w:rPr>
        <w:t>4.   Rashodi za nabavu nefinancijske imovine</w:t>
      </w:r>
    </w:p>
    <w:p w14:paraId="1BC9486F" w14:textId="695C4A8E" w:rsidR="00417B77" w:rsidRDefault="00417B77" w:rsidP="00417B77">
      <w:pPr>
        <w:jc w:val="both"/>
        <w:rPr>
          <w:rFonts w:cstheme="minorHAnsi"/>
          <w:iCs/>
        </w:rPr>
      </w:pPr>
      <w:r>
        <w:rPr>
          <w:rFonts w:cstheme="minorHAnsi"/>
          <w:b/>
          <w:bCs/>
          <w:iCs/>
        </w:rPr>
        <w:t xml:space="preserve">  </w:t>
      </w:r>
      <w:r>
        <w:rPr>
          <w:rFonts w:cstheme="minorHAnsi"/>
          <w:iCs/>
        </w:rPr>
        <w:t>Planiraju se u visini 7.726 EUR u 202</w:t>
      </w:r>
      <w:r w:rsidR="00BD3973">
        <w:rPr>
          <w:rFonts w:cstheme="minorHAnsi"/>
          <w:iCs/>
        </w:rPr>
        <w:t>5</w:t>
      </w:r>
      <w:r>
        <w:rPr>
          <w:rFonts w:cstheme="minorHAnsi"/>
          <w:iCs/>
        </w:rPr>
        <w:t>. g. 202</w:t>
      </w:r>
      <w:r w:rsidR="00BD3973">
        <w:rPr>
          <w:rFonts w:cstheme="minorHAnsi"/>
          <w:iCs/>
        </w:rPr>
        <w:t>6</w:t>
      </w:r>
      <w:r>
        <w:rPr>
          <w:rFonts w:cstheme="minorHAnsi"/>
          <w:iCs/>
        </w:rPr>
        <w:t>.g. i 202</w:t>
      </w:r>
      <w:r w:rsidR="00BD3973">
        <w:rPr>
          <w:rFonts w:cstheme="minorHAnsi"/>
          <w:iCs/>
        </w:rPr>
        <w:t>7</w:t>
      </w:r>
      <w:r>
        <w:rPr>
          <w:rFonts w:cstheme="minorHAnsi"/>
          <w:iCs/>
        </w:rPr>
        <w:t xml:space="preserve">.g. </w:t>
      </w:r>
    </w:p>
    <w:p w14:paraId="05FB730A" w14:textId="67B3A0B6" w:rsidR="00417B77" w:rsidRDefault="0039145C" w:rsidP="00417B77">
      <w:pPr>
        <w:jc w:val="both"/>
        <w:rPr>
          <w:rFonts w:cstheme="minorHAnsi"/>
          <w:b/>
          <w:bCs/>
          <w:i/>
        </w:rPr>
      </w:pPr>
      <w:r w:rsidRPr="00946EFF">
        <w:rPr>
          <w:rFonts w:cstheme="minorHAnsi"/>
          <w:b/>
          <w:bCs/>
          <w:i/>
        </w:rPr>
        <w:t xml:space="preserve">581 </w:t>
      </w:r>
      <w:r w:rsidR="00946EFF" w:rsidRPr="00946EFF">
        <w:rPr>
          <w:rFonts w:cstheme="minorHAnsi"/>
          <w:b/>
          <w:bCs/>
          <w:i/>
        </w:rPr>
        <w:t>–</w:t>
      </w:r>
      <w:r w:rsidRPr="00946EFF">
        <w:rPr>
          <w:rFonts w:cstheme="minorHAnsi"/>
          <w:b/>
          <w:bCs/>
          <w:i/>
        </w:rPr>
        <w:t xml:space="preserve"> </w:t>
      </w:r>
      <w:r w:rsidR="00946EFF" w:rsidRPr="00946EFF">
        <w:rPr>
          <w:rFonts w:cstheme="minorHAnsi"/>
          <w:b/>
          <w:bCs/>
          <w:i/>
        </w:rPr>
        <w:t>Mehanizam za oporavak i otpornost</w:t>
      </w:r>
    </w:p>
    <w:p w14:paraId="590B4EB5" w14:textId="5A7F3ED0" w:rsidR="00946EFF" w:rsidRPr="00946EFF" w:rsidRDefault="00946EFF" w:rsidP="00946EFF">
      <w:pPr>
        <w:pStyle w:val="ListParagraph"/>
        <w:numPr>
          <w:ilvl w:val="0"/>
          <w:numId w:val="30"/>
        </w:numPr>
        <w:jc w:val="both"/>
        <w:rPr>
          <w:rFonts w:cstheme="minorHAnsi"/>
          <w:b/>
          <w:bCs/>
          <w:iCs/>
        </w:rPr>
      </w:pPr>
      <w:r w:rsidRPr="00946EFF">
        <w:rPr>
          <w:rFonts w:cstheme="minorHAnsi"/>
          <w:b/>
          <w:bCs/>
          <w:iCs/>
        </w:rPr>
        <w:t>Materijalni rashodi</w:t>
      </w:r>
    </w:p>
    <w:p w14:paraId="4451D6E8" w14:textId="3B96F64F" w:rsidR="00946EFF" w:rsidRDefault="00946EFF" w:rsidP="00946EFF">
      <w:pPr>
        <w:ind w:left="72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Planiraju se u visini </w:t>
      </w:r>
      <w:r w:rsidR="00BD3973">
        <w:rPr>
          <w:rFonts w:cstheme="minorHAnsi"/>
          <w:iCs/>
        </w:rPr>
        <w:t>67.150</w:t>
      </w:r>
      <w:r>
        <w:rPr>
          <w:rFonts w:cstheme="minorHAnsi"/>
          <w:iCs/>
        </w:rPr>
        <w:t xml:space="preserve"> EUR-a za 202</w:t>
      </w:r>
      <w:r w:rsidR="00BD3973">
        <w:rPr>
          <w:rFonts w:cstheme="minorHAnsi"/>
          <w:iCs/>
        </w:rPr>
        <w:t>5</w:t>
      </w:r>
      <w:r>
        <w:rPr>
          <w:rFonts w:cstheme="minorHAnsi"/>
          <w:iCs/>
        </w:rPr>
        <w:t>; 65.</w:t>
      </w:r>
      <w:r w:rsidR="00BD3973">
        <w:rPr>
          <w:rFonts w:cstheme="minorHAnsi"/>
          <w:iCs/>
        </w:rPr>
        <w:t>250</w:t>
      </w:r>
      <w:r>
        <w:rPr>
          <w:rFonts w:cstheme="minorHAnsi"/>
          <w:iCs/>
        </w:rPr>
        <w:t xml:space="preserve"> EUR-a za 202</w:t>
      </w:r>
      <w:r w:rsidR="00BD3973">
        <w:rPr>
          <w:rFonts w:cstheme="minorHAnsi"/>
          <w:iCs/>
        </w:rPr>
        <w:t>6</w:t>
      </w:r>
      <w:r>
        <w:rPr>
          <w:rFonts w:cstheme="minorHAnsi"/>
          <w:iCs/>
        </w:rPr>
        <w:t xml:space="preserve"> i 6</w:t>
      </w:r>
      <w:r w:rsidR="00BD3973">
        <w:rPr>
          <w:rFonts w:cstheme="minorHAnsi"/>
          <w:iCs/>
        </w:rPr>
        <w:t>9.750</w:t>
      </w:r>
      <w:r>
        <w:rPr>
          <w:rFonts w:cstheme="minorHAnsi"/>
          <w:iCs/>
        </w:rPr>
        <w:t xml:space="preserve"> EUR-a za </w:t>
      </w:r>
      <w:r w:rsidR="00BD3973">
        <w:rPr>
          <w:rFonts w:cstheme="minorHAnsi"/>
          <w:iCs/>
        </w:rPr>
        <w:t>2027.</w:t>
      </w:r>
      <w:r>
        <w:rPr>
          <w:rFonts w:cstheme="minorHAnsi"/>
          <w:iCs/>
        </w:rPr>
        <w:t xml:space="preserve"> godinu.</w:t>
      </w:r>
    </w:p>
    <w:p w14:paraId="66176A75" w14:textId="28C241B2" w:rsidR="00946EFF" w:rsidRDefault="00946EFF" w:rsidP="00946EFF">
      <w:pPr>
        <w:pStyle w:val="ListParagraph"/>
        <w:numPr>
          <w:ilvl w:val="0"/>
          <w:numId w:val="30"/>
        </w:numPr>
        <w:jc w:val="both"/>
        <w:rPr>
          <w:rFonts w:cstheme="minorHAnsi"/>
          <w:b/>
          <w:bCs/>
          <w:iCs/>
        </w:rPr>
      </w:pPr>
      <w:r w:rsidRPr="00946EFF">
        <w:rPr>
          <w:rFonts w:cstheme="minorHAnsi"/>
          <w:b/>
          <w:bCs/>
          <w:iCs/>
        </w:rPr>
        <w:t>Rashodi za nabavu nefinancijske imovine</w:t>
      </w:r>
    </w:p>
    <w:p w14:paraId="5E1211EC" w14:textId="01B24A96" w:rsidR="00946EFF" w:rsidRPr="00946EFF" w:rsidRDefault="00946EFF" w:rsidP="00946EFF">
      <w:pPr>
        <w:ind w:left="72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Planiraju se u visini </w:t>
      </w:r>
      <w:r w:rsidR="00BD3973">
        <w:rPr>
          <w:rFonts w:cstheme="minorHAnsi"/>
          <w:iCs/>
        </w:rPr>
        <w:t>7.300</w:t>
      </w:r>
      <w:r>
        <w:rPr>
          <w:rFonts w:cstheme="minorHAnsi"/>
          <w:iCs/>
        </w:rPr>
        <w:t xml:space="preserve"> EUR-a za 202</w:t>
      </w:r>
      <w:r w:rsidR="00BD3973">
        <w:rPr>
          <w:rFonts w:cstheme="minorHAnsi"/>
          <w:iCs/>
        </w:rPr>
        <w:t>5</w:t>
      </w:r>
      <w:r>
        <w:rPr>
          <w:rFonts w:cstheme="minorHAnsi"/>
          <w:iCs/>
        </w:rPr>
        <w:t xml:space="preserve">; </w:t>
      </w:r>
      <w:r w:rsidR="00BD3973">
        <w:rPr>
          <w:rFonts w:cstheme="minorHAnsi"/>
          <w:iCs/>
        </w:rPr>
        <w:t>9.200</w:t>
      </w:r>
      <w:r>
        <w:rPr>
          <w:rFonts w:cstheme="minorHAnsi"/>
          <w:iCs/>
        </w:rPr>
        <w:t xml:space="preserve"> EUR-a za 202</w:t>
      </w:r>
      <w:r w:rsidR="00BD3973">
        <w:rPr>
          <w:rFonts w:cstheme="minorHAnsi"/>
          <w:iCs/>
        </w:rPr>
        <w:t>6</w:t>
      </w:r>
      <w:r>
        <w:rPr>
          <w:rFonts w:cstheme="minorHAnsi"/>
          <w:iCs/>
        </w:rPr>
        <w:t xml:space="preserve"> i </w:t>
      </w:r>
      <w:r w:rsidR="00BD3973">
        <w:rPr>
          <w:rFonts w:cstheme="minorHAnsi"/>
          <w:iCs/>
        </w:rPr>
        <w:t>4.700</w:t>
      </w:r>
      <w:r>
        <w:rPr>
          <w:rFonts w:cstheme="minorHAnsi"/>
          <w:iCs/>
        </w:rPr>
        <w:t xml:space="preserve"> EUR-a za 202</w:t>
      </w:r>
      <w:r w:rsidR="00BD3973">
        <w:rPr>
          <w:rFonts w:cstheme="minorHAnsi"/>
          <w:iCs/>
        </w:rPr>
        <w:t>7</w:t>
      </w:r>
      <w:r>
        <w:rPr>
          <w:rFonts w:cstheme="minorHAnsi"/>
          <w:iCs/>
        </w:rPr>
        <w:t>. godinu.</w:t>
      </w:r>
    </w:p>
    <w:p w14:paraId="28211A54" w14:textId="77777777" w:rsidR="0004538A" w:rsidRDefault="0004538A" w:rsidP="00457DD6">
      <w:pPr>
        <w:jc w:val="both"/>
        <w:rPr>
          <w:rFonts w:cstheme="minorHAnsi"/>
          <w:iCs/>
        </w:rPr>
      </w:pPr>
    </w:p>
    <w:p w14:paraId="44F35F28" w14:textId="445FBEA2" w:rsidR="00AA562A" w:rsidRPr="00AB56AB" w:rsidRDefault="00AA562A" w:rsidP="00457DD6">
      <w:pPr>
        <w:jc w:val="both"/>
        <w:rPr>
          <w:rFonts w:cstheme="minorHAnsi"/>
          <w:iCs/>
        </w:rPr>
      </w:pPr>
      <w:r w:rsidRPr="00AB56AB">
        <w:rPr>
          <w:rFonts w:cstheme="minorHAnsi"/>
          <w:iCs/>
        </w:rPr>
        <w:t xml:space="preserve">Provedba ove aktivnosti provodi </w:t>
      </w:r>
      <w:r w:rsidR="009D3756" w:rsidRPr="00AB56AB">
        <w:rPr>
          <w:rFonts w:cstheme="minorHAnsi"/>
          <w:iCs/>
        </w:rPr>
        <w:t xml:space="preserve">se </w:t>
      </w:r>
      <w:r w:rsidRPr="00AB56AB">
        <w:rPr>
          <w:rFonts w:cstheme="minorHAnsi"/>
          <w:iCs/>
        </w:rPr>
        <w:t>svake godine temeljem ugovora o programskom financiranju znanstvene djelatnosti na javnim znanstvenim institutima (Ministarstvo znanosti i obrazovanja).</w:t>
      </w:r>
    </w:p>
    <w:p w14:paraId="28DB5002" w14:textId="18FBDB50" w:rsidR="00831BEC" w:rsidRDefault="00AA562A" w:rsidP="00AA562A">
      <w:pPr>
        <w:jc w:val="both"/>
        <w:rPr>
          <w:rFonts w:cstheme="minorHAnsi"/>
          <w:iCs/>
        </w:rPr>
      </w:pPr>
      <w:r w:rsidRPr="00831BEC">
        <w:rPr>
          <w:rFonts w:cstheme="minorHAnsi"/>
          <w:iCs/>
        </w:rPr>
        <w:t xml:space="preserve">Sredstva programskog financiranja planiraju se prema </w:t>
      </w:r>
      <w:r w:rsidR="001607C0" w:rsidRPr="00831BEC">
        <w:rPr>
          <w:rFonts w:cstheme="minorHAnsi"/>
          <w:iCs/>
        </w:rPr>
        <w:t>limitima koje smo dobili od MZO.</w:t>
      </w:r>
    </w:p>
    <w:p w14:paraId="698FEDA2" w14:textId="01E0C084" w:rsidR="00457DD6" w:rsidRPr="00A713F9" w:rsidRDefault="00457DD6" w:rsidP="00457DD6">
      <w:pPr>
        <w:jc w:val="both"/>
        <w:rPr>
          <w:rFonts w:cstheme="minorHAnsi"/>
          <w:iCs/>
        </w:rPr>
      </w:pPr>
      <w:r w:rsidRPr="00A713F9">
        <w:rPr>
          <w:rFonts w:cstheme="minorHAnsi"/>
          <w:iCs/>
        </w:rPr>
        <w:t>U Prijedlogu razvojne i izvedbene proračunske komponente Instituta za turizam, 2024.</w:t>
      </w:r>
      <w:r w:rsidR="00890A31" w:rsidRPr="00A713F9">
        <w:rPr>
          <w:rFonts w:cstheme="minorHAnsi"/>
          <w:iCs/>
        </w:rPr>
        <w:t xml:space="preserve"> - </w:t>
      </w:r>
      <w:r w:rsidRPr="00A713F9">
        <w:rPr>
          <w:rFonts w:cstheme="minorHAnsi"/>
          <w:iCs/>
        </w:rPr>
        <w:t xml:space="preserve">2027. definirani su strateški ciljevi Instituta za turizam za sljedeće četverogodišnje razdoblje. To su Strateški cilj 1. Podizanje znanstvene izvrsnosti, Strateški cilj 2. Jačanje suradnje s gospodarstvom te razvoj nacionalnog i regionalnog identiteta i kulture, te Strateški cilj </w:t>
      </w:r>
      <w:r w:rsidR="005E7F08" w:rsidRPr="00A713F9">
        <w:rPr>
          <w:rFonts w:cstheme="minorHAnsi"/>
          <w:iCs/>
        </w:rPr>
        <w:t>4</w:t>
      </w:r>
      <w:r w:rsidRPr="00A713F9">
        <w:rPr>
          <w:rFonts w:cstheme="minorHAnsi"/>
          <w:iCs/>
        </w:rPr>
        <w:t>. Jačanje društvene odgovornosti.</w:t>
      </w:r>
    </w:p>
    <w:p w14:paraId="61B31725" w14:textId="4870C557" w:rsidR="002246B7" w:rsidRPr="00A713F9" w:rsidRDefault="00457DD6" w:rsidP="002246B7">
      <w:pPr>
        <w:jc w:val="both"/>
        <w:rPr>
          <w:rFonts w:cstheme="minorHAnsi"/>
          <w:iCs/>
        </w:rPr>
      </w:pPr>
      <w:r w:rsidRPr="00A713F9">
        <w:rPr>
          <w:rFonts w:cstheme="minorHAnsi"/>
          <w:iCs/>
        </w:rPr>
        <w:t>U nastavku su</w:t>
      </w:r>
      <w:r w:rsidR="00AA562A" w:rsidRPr="00A713F9">
        <w:rPr>
          <w:rFonts w:cstheme="minorHAnsi"/>
          <w:iCs/>
        </w:rPr>
        <w:t xml:space="preserve"> prikazani </w:t>
      </w:r>
      <w:r w:rsidR="002246B7" w:rsidRPr="00A713F9">
        <w:rPr>
          <w:rFonts w:cstheme="minorHAnsi"/>
          <w:iCs/>
        </w:rPr>
        <w:t>posebni ciljevi</w:t>
      </w:r>
      <w:r w:rsidR="00AA562A" w:rsidRPr="00A713F9">
        <w:rPr>
          <w:rFonts w:cstheme="minorHAnsi"/>
          <w:iCs/>
        </w:rPr>
        <w:t xml:space="preserve"> i </w:t>
      </w:r>
      <w:r w:rsidR="002246B7" w:rsidRPr="00A713F9">
        <w:rPr>
          <w:rFonts w:cstheme="minorHAnsi"/>
          <w:iCs/>
        </w:rPr>
        <w:t xml:space="preserve">pokazatelji </w:t>
      </w:r>
      <w:r w:rsidR="00AA562A" w:rsidRPr="00A713F9">
        <w:rPr>
          <w:rFonts w:cstheme="minorHAnsi"/>
          <w:iCs/>
        </w:rPr>
        <w:t>rezultat</w:t>
      </w:r>
      <w:r w:rsidR="002246B7" w:rsidRPr="00A713F9">
        <w:rPr>
          <w:rFonts w:cstheme="minorHAnsi"/>
          <w:iCs/>
        </w:rPr>
        <w:t>a</w:t>
      </w:r>
      <w:r w:rsidR="00AA562A" w:rsidRPr="00A713F9">
        <w:rPr>
          <w:rFonts w:cstheme="minorHAnsi"/>
          <w:iCs/>
        </w:rPr>
        <w:t xml:space="preserve"> koji su </w:t>
      </w:r>
      <w:r w:rsidRPr="00A713F9">
        <w:rPr>
          <w:rFonts w:cstheme="minorHAnsi"/>
          <w:iCs/>
        </w:rPr>
        <w:t>u skladu s navedenim strateškim ciljevima.</w:t>
      </w:r>
      <w:r w:rsidR="00831BEC" w:rsidRPr="00A713F9">
        <w:rPr>
          <w:rFonts w:cstheme="minorHAnsi"/>
          <w:iCs/>
        </w:rPr>
        <w:t xml:space="preserve"> Isto tako, prikazane su početne vrijednosti (razdoblje od 2019. do 2022.), odnosno njihove vrijednosti na sredini (2025. godina) i na kraju razdoblja provedbe programskog ugovora (2027. godina).</w:t>
      </w:r>
    </w:p>
    <w:p w14:paraId="0C6853C0" w14:textId="77777777" w:rsidR="00B96E0C" w:rsidRPr="00A713F9" w:rsidRDefault="00B96E0C" w:rsidP="002246B7">
      <w:pPr>
        <w:jc w:val="both"/>
        <w:rPr>
          <w:rFonts w:cstheme="minorHAnsi"/>
          <w:i/>
        </w:rPr>
      </w:pP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2698"/>
        <w:gridCol w:w="1319"/>
        <w:gridCol w:w="1319"/>
        <w:gridCol w:w="1319"/>
      </w:tblGrid>
      <w:tr w:rsidR="00B96E0C" w:rsidRPr="00A713F9" w14:paraId="2AA286EE" w14:textId="77777777" w:rsidTr="000D7807">
        <w:trPr>
          <w:trHeight w:val="400"/>
        </w:trPr>
        <w:tc>
          <w:tcPr>
            <w:tcW w:w="2397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3CC168" w14:textId="77777777" w:rsidR="00B96E0C" w:rsidRPr="00A713F9" w:rsidRDefault="00B96E0C" w:rsidP="00457DD6">
            <w:pPr>
              <w:jc w:val="center"/>
            </w:pPr>
            <w:bookmarkStart w:id="1" w:name="_Hlk147151986"/>
            <w:r w:rsidRPr="00A713F9">
              <w:rPr>
                <w:b/>
                <w:bCs/>
              </w:rPr>
              <w:t>Posebni cilj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68D485CD" w14:textId="77777777" w:rsidR="00B96E0C" w:rsidRPr="00A713F9" w:rsidRDefault="00B96E0C" w:rsidP="00457DD6">
            <w:pPr>
              <w:jc w:val="center"/>
              <w:rPr>
                <w:b/>
                <w:bCs/>
              </w:rPr>
            </w:pPr>
            <w:r w:rsidRPr="00A713F9">
              <w:rPr>
                <w:b/>
                <w:bCs/>
              </w:rPr>
              <w:t>Pokazatelj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3C1DED34" w14:textId="77777777" w:rsidR="00B96E0C" w:rsidRPr="00A713F9" w:rsidRDefault="00B96E0C" w:rsidP="00457DD6">
            <w:pPr>
              <w:jc w:val="center"/>
              <w:rPr>
                <w:b/>
                <w:bCs/>
              </w:rPr>
            </w:pPr>
            <w:r w:rsidRPr="00A713F9">
              <w:rPr>
                <w:b/>
                <w:bCs/>
              </w:rPr>
              <w:t>Početna vrijednost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6321B4A9" w14:textId="77777777" w:rsidR="00B96E0C" w:rsidRPr="00A713F9" w:rsidRDefault="00B96E0C" w:rsidP="00457DD6">
            <w:pPr>
              <w:jc w:val="center"/>
              <w:rPr>
                <w:b/>
                <w:bCs/>
              </w:rPr>
            </w:pPr>
            <w:r w:rsidRPr="00A713F9">
              <w:rPr>
                <w:b/>
                <w:bCs/>
              </w:rPr>
              <w:t>Vrijednost na ključnoj točki ostvarenja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1F1CB042" w14:textId="77777777" w:rsidR="00B96E0C" w:rsidRPr="00A713F9" w:rsidRDefault="00B96E0C" w:rsidP="00457DD6">
            <w:pPr>
              <w:jc w:val="center"/>
              <w:rPr>
                <w:b/>
                <w:bCs/>
              </w:rPr>
            </w:pPr>
            <w:r w:rsidRPr="00A713F9">
              <w:rPr>
                <w:b/>
                <w:bCs/>
              </w:rPr>
              <w:t>Ciljana vrijednost</w:t>
            </w:r>
          </w:p>
        </w:tc>
      </w:tr>
      <w:tr w:rsidR="00831BEC" w:rsidRPr="00A713F9" w14:paraId="0784C573" w14:textId="77777777" w:rsidTr="000D7807">
        <w:trPr>
          <w:trHeight w:val="1130"/>
        </w:trPr>
        <w:tc>
          <w:tcPr>
            <w:tcW w:w="2397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58BCB" w14:textId="0DF44A21" w:rsidR="00831BEC" w:rsidRPr="00A713F9" w:rsidRDefault="00831BEC" w:rsidP="00B02658">
            <w:pPr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1.1. Povećanje sudjelovanja javnih visokih učilišta i javnih znanstvenih instituta u kompetitivnom projektnom financiranju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1E0C0FD" w14:textId="77777777" w:rsidR="00831BEC" w:rsidRPr="00A713F9" w:rsidRDefault="00831BEC" w:rsidP="00B02658">
            <w:pPr>
              <w:rPr>
                <w:sz w:val="20"/>
                <w:szCs w:val="20"/>
              </w:rPr>
            </w:pPr>
            <w:r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1.1.2. Broj znanstvenih radova u SCOPUS i WoS, A1 časopisima te međunarodno recenziranim zbornicima za društvene i humanističke znanosti te umjetničko područje</w:t>
            </w:r>
          </w:p>
        </w:tc>
        <w:tc>
          <w:tcPr>
            <w:tcW w:w="1319" w:type="dxa"/>
            <w:vAlign w:val="center"/>
          </w:tcPr>
          <w:p w14:paraId="6658865F" w14:textId="77777777" w:rsidR="00831BEC" w:rsidRPr="00A713F9" w:rsidRDefault="00831BEC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108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D27C9E5" w14:textId="4B98BA76" w:rsidR="00831BEC" w:rsidRPr="00A713F9" w:rsidRDefault="00BA71C1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114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A7938CC" w14:textId="77777777" w:rsidR="00831BEC" w:rsidRPr="00A713F9" w:rsidRDefault="00831BEC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120</w:t>
            </w:r>
          </w:p>
        </w:tc>
      </w:tr>
      <w:tr w:rsidR="00831BEC" w:rsidRPr="00A713F9" w14:paraId="186A9F33" w14:textId="77777777" w:rsidTr="000D7807">
        <w:trPr>
          <w:trHeight w:val="1130"/>
        </w:trPr>
        <w:tc>
          <w:tcPr>
            <w:tcW w:w="2397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8CFFC" w14:textId="77777777" w:rsidR="00831BEC" w:rsidRPr="00A713F9" w:rsidRDefault="00831BEC" w:rsidP="00B02658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EBFE43D" w14:textId="5563FAAC" w:rsidR="00831BEC" w:rsidRPr="00A713F9" w:rsidRDefault="00831BEC" w:rsidP="00B02658">
            <w:pPr>
              <w:rPr>
                <w:sz w:val="20"/>
                <w:szCs w:val="20"/>
              </w:rPr>
            </w:pPr>
            <w:r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 w:rsidR="00BA71C1"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.2. Broj suradnji s inozemnim partnerima</w:t>
            </w:r>
          </w:p>
        </w:tc>
        <w:tc>
          <w:tcPr>
            <w:tcW w:w="1319" w:type="dxa"/>
            <w:vAlign w:val="center"/>
          </w:tcPr>
          <w:p w14:paraId="22A3F55E" w14:textId="77777777" w:rsidR="00831BEC" w:rsidRPr="00A713F9" w:rsidRDefault="00831BEC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25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708DEB5" w14:textId="0F53A459" w:rsidR="00831BEC" w:rsidRPr="00A713F9" w:rsidRDefault="00BA71C1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27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A548B22" w14:textId="77777777" w:rsidR="00831BEC" w:rsidRPr="00A713F9" w:rsidRDefault="00831BEC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30</w:t>
            </w:r>
          </w:p>
        </w:tc>
      </w:tr>
      <w:tr w:rsidR="00B96E0C" w:rsidRPr="00A713F9" w14:paraId="4F1671AA" w14:textId="77777777" w:rsidTr="000D7807">
        <w:trPr>
          <w:trHeight w:val="1130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A2724" w14:textId="1F4786DE" w:rsidR="00B96E0C" w:rsidRPr="00A713F9" w:rsidRDefault="00B96E0C" w:rsidP="00B02658">
            <w:pPr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lastRenderedPageBreak/>
              <w:t>1.</w:t>
            </w:r>
            <w:r w:rsidR="00BA71C1" w:rsidRPr="00A713F9">
              <w:rPr>
                <w:sz w:val="20"/>
                <w:szCs w:val="20"/>
              </w:rPr>
              <w:t>7</w:t>
            </w:r>
            <w:r w:rsidRPr="00A713F9">
              <w:rPr>
                <w:sz w:val="20"/>
                <w:szCs w:val="20"/>
              </w:rPr>
              <w:t>. Doprinos otvorenoj znanosti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C7215" w14:textId="2426B13F" w:rsidR="00B96E0C" w:rsidRPr="00A713F9" w:rsidRDefault="00B96E0C" w:rsidP="00B02658">
            <w:pPr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1.</w:t>
            </w:r>
            <w:r w:rsidR="00BA71C1" w:rsidRPr="00A713F9">
              <w:rPr>
                <w:sz w:val="20"/>
                <w:szCs w:val="20"/>
              </w:rPr>
              <w:t>7</w:t>
            </w:r>
            <w:r w:rsidRPr="00A713F9">
              <w:rPr>
                <w:sz w:val="20"/>
                <w:szCs w:val="20"/>
              </w:rPr>
              <w:t>.1. Broj provedenih mjera i uvedenih alata za poticanje politike otvorene znanosti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7617FF2" w14:textId="77777777" w:rsidR="00B96E0C" w:rsidRPr="00A713F9" w:rsidRDefault="00B96E0C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4B8B" w14:textId="74B9EB40" w:rsidR="00B96E0C" w:rsidRPr="00A713F9" w:rsidRDefault="00BA71C1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F3CEB2A" w14:textId="77777777" w:rsidR="00B96E0C" w:rsidRPr="00A713F9" w:rsidRDefault="00B96E0C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6</w:t>
            </w:r>
          </w:p>
        </w:tc>
      </w:tr>
      <w:tr w:rsidR="00B96E0C" w:rsidRPr="007756EF" w14:paraId="40F08499" w14:textId="77777777" w:rsidTr="000D7807">
        <w:trPr>
          <w:trHeight w:val="491"/>
        </w:trPr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1FD781" w14:textId="191A3BFA" w:rsidR="00B96E0C" w:rsidRPr="00A713F9" w:rsidRDefault="00BA71C1" w:rsidP="00B02658">
            <w:pPr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4</w:t>
            </w:r>
            <w:r w:rsidR="00B96E0C" w:rsidRPr="00A713F9">
              <w:rPr>
                <w:sz w:val="20"/>
                <w:szCs w:val="20"/>
              </w:rPr>
              <w:t>.1. Rad na aktivnostima od nacionalnog značaja</w:t>
            </w:r>
            <w:r w:rsidR="00B96E0C" w:rsidRPr="00A713F9">
              <w:rPr>
                <w:sz w:val="20"/>
                <w:szCs w:val="20"/>
              </w:rPr>
              <w:tab/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B3CAA" w14:textId="08193A40" w:rsidR="00B96E0C" w:rsidRPr="00A713F9" w:rsidRDefault="00BA71C1" w:rsidP="00B02658">
            <w:pPr>
              <w:rPr>
                <w:sz w:val="20"/>
                <w:szCs w:val="20"/>
              </w:rPr>
            </w:pPr>
            <w:r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96E0C"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.1.1. Broj formaliziranih suradnji s tijelima državne uprave i javnog sektora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32691" w14:textId="77777777" w:rsidR="00B96E0C" w:rsidRPr="00A713F9" w:rsidRDefault="00B96E0C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105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B5639" w14:textId="0556FBC6" w:rsidR="00B96E0C" w:rsidRPr="00A713F9" w:rsidRDefault="00BA71C1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112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447C8D6" w14:textId="77777777" w:rsidR="00B96E0C" w:rsidRPr="00A713F9" w:rsidRDefault="00B96E0C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120</w:t>
            </w:r>
          </w:p>
        </w:tc>
      </w:tr>
      <w:tr w:rsidR="00B96E0C" w:rsidRPr="007042CA" w14:paraId="6A6B236C" w14:textId="77777777" w:rsidTr="000D7807">
        <w:trPr>
          <w:trHeight w:val="1130"/>
        </w:trPr>
        <w:tc>
          <w:tcPr>
            <w:tcW w:w="23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A39958" w14:textId="2DB1C352" w:rsidR="00B96E0C" w:rsidRPr="00A713F9" w:rsidRDefault="00BA71C1" w:rsidP="00B02658">
            <w:pPr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4.6</w:t>
            </w:r>
            <w:r w:rsidR="00B96E0C" w:rsidRPr="00A713F9">
              <w:rPr>
                <w:sz w:val="20"/>
                <w:szCs w:val="20"/>
              </w:rPr>
              <w:t>. Popularizacija znanosti</w:t>
            </w:r>
          </w:p>
        </w:tc>
        <w:tc>
          <w:tcPr>
            <w:tcW w:w="2698" w:type="dxa"/>
            <w:shd w:val="clear" w:color="auto" w:fill="auto"/>
          </w:tcPr>
          <w:p w14:paraId="723EBDD3" w14:textId="6A10FC77" w:rsidR="00B96E0C" w:rsidRPr="00A713F9" w:rsidRDefault="00BA71C1" w:rsidP="00B02658">
            <w:pPr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4.6</w:t>
            </w:r>
            <w:r w:rsidR="00B96E0C" w:rsidRPr="00A713F9">
              <w:rPr>
                <w:sz w:val="20"/>
                <w:szCs w:val="20"/>
              </w:rPr>
              <w:t>.1. Broj aktivnosti popularizacije znanosti</w:t>
            </w:r>
          </w:p>
        </w:tc>
        <w:tc>
          <w:tcPr>
            <w:tcW w:w="1319" w:type="dxa"/>
            <w:vAlign w:val="center"/>
          </w:tcPr>
          <w:p w14:paraId="6C054767" w14:textId="77777777" w:rsidR="00B96E0C" w:rsidRPr="00A713F9" w:rsidRDefault="00B96E0C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296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1912F15" w14:textId="26E29FED" w:rsidR="00B96E0C" w:rsidRPr="00A713F9" w:rsidRDefault="00BA71C1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305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9C80B6C" w14:textId="77777777" w:rsidR="00B96E0C" w:rsidRPr="00A713F9" w:rsidRDefault="00B96E0C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320</w:t>
            </w:r>
          </w:p>
        </w:tc>
      </w:tr>
      <w:bookmarkEnd w:id="1"/>
    </w:tbl>
    <w:p w14:paraId="4405A677" w14:textId="77777777" w:rsidR="00890A31" w:rsidRDefault="00890A31"/>
    <w:p w14:paraId="74AA552A" w14:textId="29C194A0" w:rsidR="009F0B2F" w:rsidRPr="0022377B" w:rsidRDefault="009F0B2F" w:rsidP="00F21CC7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b/>
          <w:sz w:val="28"/>
          <w:szCs w:val="28"/>
        </w:rPr>
      </w:pPr>
      <w:r>
        <w:rPr>
          <w:b/>
          <w:sz w:val="28"/>
        </w:rPr>
        <w:t>A</w:t>
      </w:r>
      <w:r w:rsidR="00F6792F">
        <w:rPr>
          <w:b/>
          <w:sz w:val="28"/>
        </w:rPr>
        <w:t>622153</w:t>
      </w:r>
      <w:r>
        <w:rPr>
          <w:b/>
          <w:sz w:val="28"/>
        </w:rPr>
        <w:t xml:space="preserve"> </w:t>
      </w:r>
      <w:r w:rsidR="005D780C">
        <w:rPr>
          <w:b/>
          <w:sz w:val="28"/>
        </w:rPr>
        <w:t xml:space="preserve">SAMOSTALNA </w:t>
      </w:r>
      <w:r>
        <w:rPr>
          <w:b/>
          <w:sz w:val="28"/>
        </w:rPr>
        <w:t>DJELATNOST JAVNIH INSTITUTA</w:t>
      </w:r>
      <w:r w:rsidRPr="00F21CC7">
        <w:rPr>
          <w:b/>
          <w:sz w:val="24"/>
          <w:szCs w:val="24"/>
        </w:rPr>
        <w:t xml:space="preserve"> </w:t>
      </w:r>
      <w:r w:rsidR="005D780C">
        <w:rPr>
          <w:b/>
          <w:sz w:val="24"/>
          <w:szCs w:val="24"/>
        </w:rPr>
        <w:t>-</w:t>
      </w:r>
      <w:r w:rsidRPr="0022377B">
        <w:rPr>
          <w:b/>
          <w:sz w:val="28"/>
          <w:szCs w:val="28"/>
        </w:rPr>
        <w:t>IZ EVIDENCIJSKIH PRIH</w:t>
      </w:r>
      <w:r w:rsidR="00884B10" w:rsidRPr="0022377B">
        <w:rPr>
          <w:b/>
          <w:sz w:val="28"/>
          <w:szCs w:val="28"/>
        </w:rPr>
        <w:t>O</w:t>
      </w:r>
      <w:r w:rsidRPr="0022377B">
        <w:rPr>
          <w:b/>
          <w:sz w:val="28"/>
          <w:szCs w:val="28"/>
        </w:rPr>
        <w:t>DA</w:t>
      </w:r>
      <w:r w:rsidRPr="0022377B">
        <w:rPr>
          <w:b/>
          <w:color w:val="FF0000"/>
          <w:sz w:val="28"/>
          <w:szCs w:val="28"/>
        </w:rPr>
        <w:t xml:space="preserve"> </w:t>
      </w:r>
    </w:p>
    <w:p w14:paraId="45921C5A" w14:textId="27D001F1" w:rsidR="009F0B2F" w:rsidRDefault="009F0B2F" w:rsidP="009F0B2F">
      <w:pPr>
        <w:spacing w:after="0"/>
        <w:jc w:val="both"/>
        <w:rPr>
          <w:rFonts w:cstheme="minorHAnsi"/>
          <w:i/>
        </w:rPr>
      </w:pPr>
      <w:r w:rsidRPr="00DC74E2">
        <w:rPr>
          <w:rFonts w:cstheme="minorHAnsi"/>
          <w:iCs/>
        </w:rPr>
        <w:t>Zakonske i druge pravne osnove</w:t>
      </w:r>
      <w:r w:rsidR="00890A31">
        <w:rPr>
          <w:rFonts w:cstheme="minorHAnsi"/>
          <w:i/>
        </w:rPr>
        <w:t>:</w:t>
      </w:r>
    </w:p>
    <w:p w14:paraId="5B48E9FC" w14:textId="77777777" w:rsidR="00DC74E2" w:rsidRPr="00B92B7D" w:rsidRDefault="00DC74E2" w:rsidP="009F0B2F">
      <w:pPr>
        <w:spacing w:after="0"/>
        <w:jc w:val="both"/>
        <w:rPr>
          <w:rFonts w:cstheme="minorHAnsi"/>
          <w:i/>
        </w:rPr>
      </w:pPr>
    </w:p>
    <w:p w14:paraId="7F60293C" w14:textId="77777777" w:rsidR="00BD3973" w:rsidRPr="00E02110" w:rsidRDefault="00BD3973" w:rsidP="00BD3973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 xml:space="preserve">Zakon o ustanovama </w:t>
      </w:r>
    </w:p>
    <w:p w14:paraId="271AE7CC" w14:textId="77777777" w:rsidR="00BD3973" w:rsidRPr="00E02110" w:rsidRDefault="00BD3973" w:rsidP="00BD3973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 xml:space="preserve">Zakon o </w:t>
      </w:r>
      <w:r>
        <w:rPr>
          <w:rFonts w:ascii="Calibri" w:hAnsi="Calibri" w:cs="Calibri"/>
          <w:iCs/>
        </w:rPr>
        <w:t>visokom obrazovanju i znanstvenoj djelatnosti</w:t>
      </w:r>
    </w:p>
    <w:p w14:paraId="4E3B4078" w14:textId="77777777" w:rsidR="00BD3973" w:rsidRPr="00E02110" w:rsidRDefault="00BD3973" w:rsidP="00BD3973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>Zakon o radu</w:t>
      </w:r>
    </w:p>
    <w:p w14:paraId="522520BF" w14:textId="77777777" w:rsidR="00BD3973" w:rsidRPr="00E02110" w:rsidRDefault="00BD3973" w:rsidP="00BD3973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>Zakon o zaštiti na radu</w:t>
      </w:r>
    </w:p>
    <w:p w14:paraId="75662177" w14:textId="77777777" w:rsidR="00BD3973" w:rsidRPr="00E02110" w:rsidRDefault="00BD3973" w:rsidP="00BD3973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 xml:space="preserve">Zakon o plaćama u </w:t>
      </w:r>
      <w:r>
        <w:rPr>
          <w:rFonts w:ascii="Calibri" w:hAnsi="Calibri" w:cs="Calibri"/>
          <w:iCs/>
        </w:rPr>
        <w:t>državnoj i javnim službama</w:t>
      </w:r>
    </w:p>
    <w:p w14:paraId="6A1EC984" w14:textId="096E3F16" w:rsidR="00BD3973" w:rsidRPr="00E02110" w:rsidRDefault="00BD3973" w:rsidP="00BD3973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 xml:space="preserve">Uredba o nazivima radnih mjesta </w:t>
      </w:r>
      <w:r>
        <w:rPr>
          <w:rFonts w:ascii="Calibri" w:hAnsi="Calibri" w:cs="Calibri"/>
          <w:iCs/>
        </w:rPr>
        <w:t>uvjetima za raspored i koeficijentima za obračun plaća u javnim službama</w:t>
      </w:r>
    </w:p>
    <w:p w14:paraId="3A25AD63" w14:textId="77777777" w:rsidR="00BD3973" w:rsidRPr="00E02110" w:rsidRDefault="00BD3973" w:rsidP="00BD3973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>Zakon o provedbi Opće uredbe o zaštiti podataka</w:t>
      </w:r>
    </w:p>
    <w:p w14:paraId="52798009" w14:textId="77777777" w:rsidR="00BD3973" w:rsidRPr="00E02110" w:rsidRDefault="00BD3973" w:rsidP="00BD3973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>Zakon o pravu na pristup informacijama</w:t>
      </w:r>
    </w:p>
    <w:p w14:paraId="1A31C7A4" w14:textId="77777777" w:rsidR="00BD3973" w:rsidRDefault="00BD3973" w:rsidP="00BD3973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 xml:space="preserve">Pravilnik o </w:t>
      </w:r>
      <w:r>
        <w:rPr>
          <w:rFonts w:ascii="Calibri" w:hAnsi="Calibri" w:cs="Calibri"/>
          <w:iCs/>
        </w:rPr>
        <w:t xml:space="preserve">mjerilima i načinu korištenja namjenskih prihoda proračunskih korisnika iz nadležnosti Ministarstva znanosti, obrazovanja i mladih </w:t>
      </w:r>
    </w:p>
    <w:p w14:paraId="02C4A76A" w14:textId="77777777" w:rsidR="00BD3973" w:rsidRPr="00E02110" w:rsidRDefault="00BD3973" w:rsidP="00BD3973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Pravilnik o mjerilima i načinu korištenja namjenskih prihoda proračunskih korisnika iz nadležnosti Ministarstva znanosti, obrazovanja i mladih</w:t>
      </w:r>
    </w:p>
    <w:p w14:paraId="4D572FE6" w14:textId="77777777" w:rsidR="00BD3973" w:rsidRPr="00E02110" w:rsidRDefault="00BD3973" w:rsidP="00BD3973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>Pravilnik o znanstvenim i umjetničkim područjima, poljima i granama</w:t>
      </w:r>
    </w:p>
    <w:p w14:paraId="24D572B6" w14:textId="77777777" w:rsidR="00BD3973" w:rsidRDefault="00BD3973" w:rsidP="00BD3973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Odluka o obliku i detaljnijem sadržaju dopusnice za rad visokog učilišta, odnosno znanstvenog instituta te dopusnice za izvođenje studija</w:t>
      </w:r>
    </w:p>
    <w:p w14:paraId="2B9E66AB" w14:textId="77777777" w:rsidR="00BD3973" w:rsidRPr="00E02110" w:rsidRDefault="00BD3973" w:rsidP="00BD3973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Uredba o programskom financiranju javnih visokih učilišta i javnih znanstvenih instituta u Republici Hrvatskoj</w:t>
      </w:r>
    </w:p>
    <w:p w14:paraId="76D56A96" w14:textId="77777777" w:rsidR="00BD3973" w:rsidRPr="00E02110" w:rsidRDefault="00BD3973" w:rsidP="00BD3973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>Pravilniku o uvjetima za izbor u znanstvena zvanja</w:t>
      </w:r>
    </w:p>
    <w:p w14:paraId="7466ECBB" w14:textId="77777777" w:rsidR="00BD3973" w:rsidRDefault="00BD3973" w:rsidP="00BD3973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</w:rPr>
      </w:pPr>
      <w:r w:rsidRPr="00C10222">
        <w:rPr>
          <w:rFonts w:ascii="Calibri" w:hAnsi="Calibri" w:cs="Calibri"/>
        </w:rPr>
        <w:t xml:space="preserve">Pravilnik o unutarnjem </w:t>
      </w:r>
      <w:r>
        <w:rPr>
          <w:rFonts w:ascii="Calibri" w:hAnsi="Calibri" w:cs="Calibri"/>
        </w:rPr>
        <w:t>ustrojstvu radnih mjesta</w:t>
      </w:r>
    </w:p>
    <w:p w14:paraId="2B94C609" w14:textId="77777777" w:rsidR="00BD3973" w:rsidRDefault="00BD3973" w:rsidP="00BD3973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Temeljni kolektivni ugovor za službenike i namještenike u javnim službama</w:t>
      </w:r>
    </w:p>
    <w:p w14:paraId="057E03BE" w14:textId="77777777" w:rsidR="00BD3973" w:rsidRPr="00C10222" w:rsidRDefault="00BD3973" w:rsidP="00BD3973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Kolektivni ugovor za znanost i visoko obrazovanje s dodatkom</w:t>
      </w:r>
    </w:p>
    <w:p w14:paraId="4E62338A" w14:textId="77777777" w:rsidR="00BD3973" w:rsidRDefault="00BD3973" w:rsidP="00BD3973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Statut Instituta za turizam</w:t>
      </w:r>
    </w:p>
    <w:p w14:paraId="286012B8" w14:textId="77777777" w:rsidR="00BD3973" w:rsidRDefault="00BD3973" w:rsidP="00BD3973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Ostali opći/interni akti Instituta za turizam.</w:t>
      </w:r>
    </w:p>
    <w:p w14:paraId="11567859" w14:textId="77777777" w:rsidR="00817C24" w:rsidRPr="009D005B" w:rsidRDefault="00817C24" w:rsidP="009F0B2F">
      <w:pPr>
        <w:spacing w:after="0"/>
        <w:jc w:val="both"/>
        <w:rPr>
          <w:i/>
        </w:rPr>
      </w:pPr>
    </w:p>
    <w:p w14:paraId="5F299A48" w14:textId="77777777" w:rsidR="00890A31" w:rsidRPr="00AB56AB" w:rsidRDefault="00890A31" w:rsidP="00890A31">
      <w:pPr>
        <w:pStyle w:val="ListParagraph"/>
        <w:spacing w:after="200" w:line="360" w:lineRule="auto"/>
        <w:ind w:left="785"/>
        <w:rPr>
          <w:rFonts w:ascii="Calibri" w:hAnsi="Calibr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6"/>
        <w:gridCol w:w="1557"/>
        <w:gridCol w:w="1557"/>
        <w:gridCol w:w="1557"/>
        <w:gridCol w:w="1455"/>
        <w:gridCol w:w="1270"/>
      </w:tblGrid>
      <w:tr w:rsidR="002246B7" w:rsidRPr="009D005B" w14:paraId="7523B6E1" w14:textId="77777777" w:rsidTr="00BD3973">
        <w:tc>
          <w:tcPr>
            <w:tcW w:w="919" w:type="pct"/>
            <w:shd w:val="clear" w:color="auto" w:fill="D0CECE" w:themeFill="background2" w:themeFillShade="E6"/>
          </w:tcPr>
          <w:p w14:paraId="6E9AD335" w14:textId="77777777" w:rsidR="002246B7" w:rsidRPr="009D005B" w:rsidRDefault="002246B7" w:rsidP="009F0B2F">
            <w:pPr>
              <w:jc w:val="both"/>
            </w:pPr>
          </w:p>
        </w:tc>
        <w:tc>
          <w:tcPr>
            <w:tcW w:w="859" w:type="pct"/>
            <w:shd w:val="clear" w:color="auto" w:fill="D0CECE" w:themeFill="background2" w:themeFillShade="E6"/>
            <w:vAlign w:val="center"/>
          </w:tcPr>
          <w:p w14:paraId="1F7D7630" w14:textId="036A1835" w:rsidR="002246B7" w:rsidRPr="00E02110" w:rsidRDefault="00BD3973" w:rsidP="00C6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IZVRŠENJE</w:t>
            </w:r>
            <w:r w:rsidR="002246B7" w:rsidRPr="00E02110">
              <w:rPr>
                <w:b/>
                <w:bCs/>
              </w:rPr>
              <w:t xml:space="preserve"> 2023.</w:t>
            </w:r>
          </w:p>
        </w:tc>
        <w:tc>
          <w:tcPr>
            <w:tcW w:w="859" w:type="pct"/>
            <w:shd w:val="clear" w:color="auto" w:fill="D0CECE" w:themeFill="background2" w:themeFillShade="E6"/>
            <w:vAlign w:val="center"/>
          </w:tcPr>
          <w:p w14:paraId="2B2BCF21" w14:textId="4F46BE1A" w:rsidR="002246B7" w:rsidRPr="00E02110" w:rsidRDefault="00BD3973" w:rsidP="00C6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  <w:r w:rsidR="002246B7" w:rsidRPr="00E02110">
              <w:rPr>
                <w:b/>
                <w:bCs/>
              </w:rPr>
              <w:t xml:space="preserve"> 2024.</w:t>
            </w:r>
          </w:p>
        </w:tc>
        <w:tc>
          <w:tcPr>
            <w:tcW w:w="859" w:type="pct"/>
            <w:shd w:val="clear" w:color="auto" w:fill="D0CECE" w:themeFill="background2" w:themeFillShade="E6"/>
            <w:vAlign w:val="center"/>
          </w:tcPr>
          <w:p w14:paraId="4AB5E799" w14:textId="6BA3396B" w:rsidR="002246B7" w:rsidRPr="00E02110" w:rsidRDefault="00BD3973" w:rsidP="00C6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  <w:r w:rsidR="002246B7" w:rsidRPr="00E02110">
              <w:rPr>
                <w:b/>
                <w:bCs/>
              </w:rPr>
              <w:t xml:space="preserve"> 2025.</w:t>
            </w:r>
          </w:p>
        </w:tc>
        <w:tc>
          <w:tcPr>
            <w:tcW w:w="803" w:type="pct"/>
            <w:shd w:val="clear" w:color="auto" w:fill="D0CECE" w:themeFill="background2" w:themeFillShade="E6"/>
            <w:vAlign w:val="center"/>
          </w:tcPr>
          <w:p w14:paraId="3F82C4C7" w14:textId="6D34C71C" w:rsidR="002246B7" w:rsidRPr="00E02110" w:rsidRDefault="00BD3973" w:rsidP="00C6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  <w:r w:rsidR="002246B7" w:rsidRPr="00E02110">
              <w:rPr>
                <w:b/>
                <w:bCs/>
              </w:rPr>
              <w:t xml:space="preserve"> 2026.</w:t>
            </w:r>
          </w:p>
        </w:tc>
        <w:tc>
          <w:tcPr>
            <w:tcW w:w="701" w:type="pct"/>
            <w:shd w:val="clear" w:color="auto" w:fill="D0CECE" w:themeFill="background2" w:themeFillShade="E6"/>
            <w:vAlign w:val="center"/>
          </w:tcPr>
          <w:p w14:paraId="16C3EB39" w14:textId="5F3520A7" w:rsidR="002246B7" w:rsidRPr="00E02110" w:rsidRDefault="00BD3973" w:rsidP="00C6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2027.</w:t>
            </w:r>
          </w:p>
        </w:tc>
      </w:tr>
      <w:tr w:rsidR="002246B7" w:rsidRPr="00933F04" w14:paraId="645A2EB2" w14:textId="77777777" w:rsidTr="00BD3973">
        <w:tc>
          <w:tcPr>
            <w:tcW w:w="919" w:type="pct"/>
          </w:tcPr>
          <w:p w14:paraId="762BD962" w14:textId="13D62D7C" w:rsidR="002246B7" w:rsidRPr="00933F04" w:rsidRDefault="00F6792F" w:rsidP="009F0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A622153 </w:t>
            </w:r>
            <w:r w:rsidR="00C23A51">
              <w:rPr>
                <w:sz w:val="20"/>
                <w:szCs w:val="20"/>
              </w:rPr>
              <w:t>SAMOSTALNA</w:t>
            </w:r>
            <w:r w:rsidR="002246B7" w:rsidRPr="006D1ED3">
              <w:rPr>
                <w:sz w:val="20"/>
                <w:szCs w:val="20"/>
              </w:rPr>
              <w:t xml:space="preserve"> DJELATNOST JAVNIH INSTITUTA (IZ EVIDENCIJSKIH PRIHODA)</w:t>
            </w:r>
          </w:p>
        </w:tc>
        <w:tc>
          <w:tcPr>
            <w:tcW w:w="859" w:type="pct"/>
            <w:shd w:val="clear" w:color="auto" w:fill="FFFFFF" w:themeFill="background1"/>
          </w:tcPr>
          <w:p w14:paraId="1FAB5B04" w14:textId="3E79A7CC" w:rsidR="002246B7" w:rsidRPr="00C62C17" w:rsidRDefault="00714667" w:rsidP="00457DD6">
            <w:pPr>
              <w:jc w:val="right"/>
              <w:rPr>
                <w:sz w:val="20"/>
                <w:szCs w:val="20"/>
                <w:highlight w:val="yellow"/>
              </w:rPr>
            </w:pPr>
            <w:r w:rsidRPr="00714667">
              <w:rPr>
                <w:sz w:val="20"/>
                <w:szCs w:val="20"/>
              </w:rPr>
              <w:t>526.091</w:t>
            </w:r>
            <w:r w:rsidR="002246B7" w:rsidRPr="00714667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859" w:type="pct"/>
          </w:tcPr>
          <w:p w14:paraId="0BCF6466" w14:textId="18F687E8" w:rsidR="002246B7" w:rsidRPr="002878BD" w:rsidRDefault="00714667" w:rsidP="00457DD6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518.556</w:t>
            </w:r>
            <w:r w:rsidR="002246B7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859" w:type="pct"/>
          </w:tcPr>
          <w:p w14:paraId="2E4B5C85" w14:textId="6990359B" w:rsidR="002246B7" w:rsidRPr="002878BD" w:rsidRDefault="00BA0FD7" w:rsidP="00457D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543.782</w:t>
            </w:r>
            <w:r w:rsidR="00951124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803" w:type="pct"/>
          </w:tcPr>
          <w:p w14:paraId="1C292E63" w14:textId="7A322BE7" w:rsidR="002246B7" w:rsidRPr="002878BD" w:rsidRDefault="00BD3973" w:rsidP="00457D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479.982</w:t>
            </w:r>
            <w:r w:rsidR="002246B7">
              <w:rPr>
                <w:sz w:val="20"/>
                <w:szCs w:val="20"/>
              </w:rPr>
              <w:t xml:space="preserve"> </w:t>
            </w:r>
            <w:r w:rsidR="002246B7" w:rsidRPr="002878BD">
              <w:rPr>
                <w:sz w:val="20"/>
                <w:szCs w:val="20"/>
              </w:rPr>
              <w:t>EUR</w:t>
            </w:r>
          </w:p>
        </w:tc>
        <w:tc>
          <w:tcPr>
            <w:tcW w:w="701" w:type="pct"/>
          </w:tcPr>
          <w:p w14:paraId="72E55E29" w14:textId="1BBD8269" w:rsidR="002246B7" w:rsidRPr="002878BD" w:rsidRDefault="00714667" w:rsidP="00457D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479.982 EUR</w:t>
            </w:r>
          </w:p>
        </w:tc>
      </w:tr>
    </w:tbl>
    <w:p w14:paraId="72BE60C4" w14:textId="3C564EAB" w:rsidR="00C21F44" w:rsidRDefault="00C21F44" w:rsidP="009F0B2F">
      <w:pPr>
        <w:jc w:val="both"/>
        <w:rPr>
          <w:i/>
        </w:rPr>
      </w:pPr>
    </w:p>
    <w:p w14:paraId="55F9C5CF" w14:textId="57709036" w:rsidR="00E02110" w:rsidRPr="00457DD6" w:rsidRDefault="009F0B2F" w:rsidP="009F0B2F">
      <w:pPr>
        <w:jc w:val="both"/>
        <w:rPr>
          <w:rFonts w:cstheme="minorHAnsi"/>
          <w:iCs/>
        </w:rPr>
      </w:pPr>
      <w:r w:rsidRPr="00457DD6">
        <w:rPr>
          <w:rFonts w:cstheme="minorHAnsi"/>
          <w:iCs/>
        </w:rPr>
        <w:t>Ova aktivnost provodi se svake godine.</w:t>
      </w:r>
    </w:p>
    <w:p w14:paraId="063C7E65" w14:textId="2F1259F6" w:rsidR="009F0B2F" w:rsidRPr="00457DD6" w:rsidRDefault="009F0B2F" w:rsidP="009F0B2F">
      <w:pPr>
        <w:spacing w:after="0"/>
        <w:jc w:val="both"/>
        <w:rPr>
          <w:rFonts w:cstheme="minorHAnsi"/>
          <w:iCs/>
        </w:rPr>
      </w:pPr>
      <w:r w:rsidRPr="00457DD6">
        <w:rPr>
          <w:rFonts w:cstheme="minorHAnsi"/>
          <w:iCs/>
        </w:rPr>
        <w:t>Izračun financijskog plana</w:t>
      </w:r>
      <w:r w:rsidR="00FE3DAD" w:rsidRPr="00457DD6">
        <w:rPr>
          <w:rFonts w:cstheme="minorHAnsi"/>
          <w:iCs/>
        </w:rPr>
        <w:t xml:space="preserve"> 202</w:t>
      </w:r>
      <w:r w:rsidR="00402231" w:rsidRPr="00457DD6">
        <w:rPr>
          <w:rFonts w:cstheme="minorHAnsi"/>
          <w:iCs/>
        </w:rPr>
        <w:t>4</w:t>
      </w:r>
      <w:r w:rsidRPr="00457DD6">
        <w:rPr>
          <w:rFonts w:cstheme="minorHAnsi"/>
          <w:iCs/>
        </w:rPr>
        <w:t>:</w:t>
      </w:r>
    </w:p>
    <w:p w14:paraId="59C99400" w14:textId="77777777" w:rsidR="00521831" w:rsidRPr="00457DD6" w:rsidRDefault="00521831" w:rsidP="009F0B2F">
      <w:pPr>
        <w:spacing w:after="0"/>
        <w:jc w:val="both"/>
        <w:rPr>
          <w:rFonts w:cstheme="minorHAnsi"/>
          <w:iCs/>
        </w:rPr>
      </w:pPr>
    </w:p>
    <w:p w14:paraId="253F9D64" w14:textId="0EC8FFAB" w:rsidR="00371CA9" w:rsidRPr="00457DD6" w:rsidRDefault="00371CA9" w:rsidP="00521831">
      <w:pPr>
        <w:ind w:left="283"/>
        <w:jc w:val="both"/>
        <w:rPr>
          <w:rFonts w:cstheme="minorHAnsi"/>
          <w:iCs/>
        </w:rPr>
      </w:pPr>
      <w:r w:rsidRPr="00457DD6">
        <w:rPr>
          <w:rFonts w:cstheme="minorHAnsi"/>
          <w:iCs/>
        </w:rPr>
        <w:t xml:space="preserve">Redovna djelatnost instituta – </w:t>
      </w:r>
      <w:r w:rsidR="00416A16" w:rsidRPr="00457DD6">
        <w:rPr>
          <w:rFonts w:cstheme="minorHAnsi"/>
          <w:iCs/>
        </w:rPr>
        <w:t xml:space="preserve"> EUR </w:t>
      </w:r>
      <w:r w:rsidR="00BA0FD7">
        <w:rPr>
          <w:rFonts w:cstheme="minorHAnsi"/>
          <w:iCs/>
        </w:rPr>
        <w:t>479.982</w:t>
      </w:r>
      <w:r w:rsidR="00416A16" w:rsidRPr="00457DD6">
        <w:rPr>
          <w:rFonts w:cstheme="minorHAnsi"/>
          <w:iCs/>
        </w:rPr>
        <w:t xml:space="preserve"> </w:t>
      </w:r>
    </w:p>
    <w:p w14:paraId="1485D38E" w14:textId="004808A6" w:rsidR="00CF46CE" w:rsidRPr="001C4D41" w:rsidRDefault="00127AA0" w:rsidP="001C4D41">
      <w:pPr>
        <w:rPr>
          <w:rFonts w:eastAsia="Times New Roman" w:cstheme="minorHAnsi"/>
        </w:rPr>
      </w:pPr>
      <w:r w:rsidRPr="001C4D41">
        <w:rPr>
          <w:rFonts w:eastAsia="Times New Roman" w:cstheme="minorHAnsi"/>
        </w:rPr>
        <w:t>Dominantni izvor financiranja je 31</w:t>
      </w:r>
      <w:r w:rsidR="00457DD6">
        <w:rPr>
          <w:rFonts w:eastAsia="Times New Roman" w:cstheme="minorHAnsi"/>
        </w:rPr>
        <w:t>.</w:t>
      </w:r>
      <w:r w:rsidRPr="001C4D41">
        <w:rPr>
          <w:rFonts w:eastAsia="Times New Roman" w:cstheme="minorHAnsi"/>
        </w:rPr>
        <w:t xml:space="preserve"> </w:t>
      </w:r>
    </w:p>
    <w:p w14:paraId="4860A029" w14:textId="2E59FE34" w:rsidR="00C21F44" w:rsidRDefault="00AE20FB" w:rsidP="001C4D41">
      <w:pPr>
        <w:jc w:val="both"/>
        <w:rPr>
          <w:rFonts w:cstheme="minorHAnsi"/>
        </w:rPr>
      </w:pPr>
      <w:r w:rsidRPr="001C4D41">
        <w:rPr>
          <w:rFonts w:cstheme="minorHAnsi"/>
        </w:rPr>
        <w:t>Zbog nedostatnog financiranja</w:t>
      </w:r>
      <w:r w:rsidR="001C4D41">
        <w:rPr>
          <w:rFonts w:cstheme="minorHAnsi"/>
        </w:rPr>
        <w:t xml:space="preserve"> znanstvene djelatnosti</w:t>
      </w:r>
      <w:r w:rsidRPr="001C4D41">
        <w:rPr>
          <w:rFonts w:cstheme="minorHAnsi"/>
        </w:rPr>
        <w:t xml:space="preserve"> od strane MZO, Institut kontinuirano izdvaja određena sredstva za znanstvenoistraživačku djelatnost iz vlastitih izvora. </w:t>
      </w:r>
      <w:r w:rsidR="00D45828">
        <w:rPr>
          <w:rFonts w:cstheme="minorHAnsi"/>
        </w:rPr>
        <w:t>–</w:t>
      </w:r>
      <w:r w:rsidR="00B96E0C">
        <w:rPr>
          <w:rFonts w:cstheme="minorHAnsi"/>
        </w:rPr>
        <w:t xml:space="preserve"> </w:t>
      </w:r>
      <w:r w:rsidR="0012719A">
        <w:rPr>
          <w:rFonts w:cstheme="minorHAnsi"/>
        </w:rPr>
        <w:t>479.982</w:t>
      </w:r>
      <w:r w:rsidR="00B96E0C">
        <w:rPr>
          <w:rFonts w:cstheme="minorHAnsi"/>
        </w:rPr>
        <w:t xml:space="preserve"> EUR</w:t>
      </w:r>
      <w:r w:rsidR="00457DD6">
        <w:rPr>
          <w:rFonts w:cstheme="minorHAnsi"/>
        </w:rPr>
        <w:t>.</w:t>
      </w:r>
    </w:p>
    <w:p w14:paraId="5B14F0B4" w14:textId="7348F2C9" w:rsidR="00416A16" w:rsidRDefault="00416A16" w:rsidP="001C4D41">
      <w:pPr>
        <w:jc w:val="both"/>
        <w:rPr>
          <w:rFonts w:cstheme="minorHAnsi"/>
        </w:rPr>
      </w:pPr>
      <w:r>
        <w:rPr>
          <w:rFonts w:cstheme="minorHAnsi"/>
        </w:rPr>
        <w:t>U okviru redovne djelatnosti iz izvora 51 izdvajaju se sredstva za financiranje i pred</w:t>
      </w:r>
      <w:r w:rsidR="00B30157">
        <w:rPr>
          <w:rFonts w:cstheme="minorHAnsi"/>
        </w:rPr>
        <w:t xml:space="preserve"> </w:t>
      </w:r>
      <w:r>
        <w:rPr>
          <w:rFonts w:cstheme="minorHAnsi"/>
        </w:rPr>
        <w:t>financiranje</w:t>
      </w:r>
      <w:r w:rsidR="00B30157">
        <w:rPr>
          <w:rFonts w:cstheme="minorHAnsi"/>
        </w:rPr>
        <w:t xml:space="preserve"> budućih EU projeka</w:t>
      </w:r>
      <w:r w:rsidR="00714667">
        <w:rPr>
          <w:rFonts w:cstheme="minorHAnsi"/>
        </w:rPr>
        <w:t>ta</w:t>
      </w:r>
      <w:r w:rsidR="00402231">
        <w:rPr>
          <w:rFonts w:cstheme="minorHAnsi"/>
        </w:rPr>
        <w:t xml:space="preserve"> , za 2025. </w:t>
      </w:r>
      <w:r w:rsidR="0012719A">
        <w:rPr>
          <w:rFonts w:cstheme="minorHAnsi"/>
        </w:rPr>
        <w:t>iznosi 63.800</w:t>
      </w:r>
      <w:r w:rsidR="00402231">
        <w:rPr>
          <w:rFonts w:cstheme="minorHAnsi"/>
        </w:rPr>
        <w:t xml:space="preserve"> EUR-a.</w:t>
      </w:r>
      <w:r w:rsidR="00D45828">
        <w:rPr>
          <w:rFonts w:cstheme="minorHAnsi"/>
        </w:rPr>
        <w:t xml:space="preserve"> Realizacija iz ovih izvora u okviru redovne djelatnosti ovisi o završenim projektima tekućeg razdoblja</w:t>
      </w:r>
      <w:r w:rsidR="00402231">
        <w:rPr>
          <w:rFonts w:cstheme="minorHAnsi"/>
        </w:rPr>
        <w:t xml:space="preserve">. </w:t>
      </w:r>
    </w:p>
    <w:p w14:paraId="50F6B951" w14:textId="77777777" w:rsidR="00B96E0C" w:rsidRDefault="00B96E0C" w:rsidP="009D3756">
      <w:pPr>
        <w:spacing w:line="360" w:lineRule="auto"/>
        <w:jc w:val="both"/>
        <w:rPr>
          <w:rFonts w:ascii="Calibri" w:hAnsi="Calibri" w:cs="Calibri"/>
        </w:rPr>
      </w:pPr>
    </w:p>
    <w:p w14:paraId="39F2BA53" w14:textId="0B92FC06" w:rsidR="00457DD6" w:rsidRDefault="00457DD6" w:rsidP="00457DD6">
      <w:pPr>
        <w:jc w:val="both"/>
        <w:rPr>
          <w:rFonts w:cstheme="minorHAnsi"/>
        </w:rPr>
      </w:pPr>
      <w:r w:rsidRPr="00457DD6">
        <w:rPr>
          <w:rFonts w:cstheme="minorHAnsi"/>
        </w:rPr>
        <w:t>Jedan od strateških ciljeva Instituta za turizam je Jačanje suradnje s gospodarstvom te razvoj nacionalnog i regionalnog identiteta i kulture</w:t>
      </w:r>
      <w:r>
        <w:rPr>
          <w:rFonts w:cstheme="minorHAnsi"/>
        </w:rPr>
        <w:t xml:space="preserve">. </w:t>
      </w:r>
      <w:r w:rsidRPr="00457DD6">
        <w:rPr>
          <w:rFonts w:cstheme="minorHAnsi"/>
        </w:rPr>
        <w:t>Jedna od važnih odrednica misije Instituta za turizam je praktična primjena i transfer znanja prema tijelima državne uprave i javnog sektora te gospodarstva, s ciljem osiguranja dugoročno održivog i tržišno konkurentnog turističkog razvoja Hrvatske. Institut za turizam ima dugu tradiciju (preko 60 godina) suradnje s gospodarstvom, osobito s ustanovama iz javnog sektora (ministarstva, jedinice regionalne i područne samouprave, lokalne i regionalne razvojne agencije, sustav turističkih zajednica i slično) te to smatramo važnim doprinosom Instituta za turizam gospodarskom, ali i ukupnom društvenom razvoju Republike Hrvatske. S obzirom na veliki značaj turizma za ukupno hrvatsko gospodarstvo, smatramo da će suradnja s gospodarstvom, odnosno stručna potpora Instituta za turizam oblikovanju i vođenju turističke politike i u budućem ugovornom razdoblju biti od ključnog značaja za daljnji razvoj održivog, odgovornog i otpornog turizma u Republici Hrvatskoj.</w:t>
      </w:r>
    </w:p>
    <w:p w14:paraId="5147FA41" w14:textId="4D6A6C04" w:rsidR="00457DD6" w:rsidRDefault="00457DD6" w:rsidP="00457DD6">
      <w:pPr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U </w:t>
      </w:r>
      <w:r w:rsidRPr="00831BEC">
        <w:rPr>
          <w:rFonts w:cstheme="minorHAnsi"/>
          <w:iCs/>
        </w:rPr>
        <w:t>Prijedlog</w:t>
      </w:r>
      <w:r>
        <w:rPr>
          <w:rFonts w:cstheme="minorHAnsi"/>
          <w:iCs/>
        </w:rPr>
        <w:t>u</w:t>
      </w:r>
      <w:r w:rsidRPr="00831BEC">
        <w:rPr>
          <w:rFonts w:cstheme="minorHAnsi"/>
          <w:iCs/>
        </w:rPr>
        <w:t xml:space="preserve"> razvojne i izvedbene proračunske komponente Instituta za turizam, 202</w:t>
      </w:r>
      <w:r w:rsidR="00714667">
        <w:rPr>
          <w:rFonts w:cstheme="minorHAnsi"/>
          <w:iCs/>
        </w:rPr>
        <w:t>4</w:t>
      </w:r>
      <w:r w:rsidRPr="00831BEC">
        <w:rPr>
          <w:rFonts w:cstheme="minorHAnsi"/>
          <w:iCs/>
        </w:rPr>
        <w:t xml:space="preserve">. </w:t>
      </w:r>
      <w:r>
        <w:rPr>
          <w:rFonts w:cstheme="minorHAnsi"/>
          <w:iCs/>
        </w:rPr>
        <w:t>–</w:t>
      </w:r>
      <w:r w:rsidRPr="00831BEC">
        <w:rPr>
          <w:rFonts w:cstheme="minorHAnsi"/>
          <w:iCs/>
        </w:rPr>
        <w:t xml:space="preserve"> 2027</w:t>
      </w:r>
      <w:r>
        <w:rPr>
          <w:rFonts w:cstheme="minorHAnsi"/>
          <w:iCs/>
        </w:rPr>
        <w:t xml:space="preserve">. ovaj strateški cilj povezan je s posebnim </w:t>
      </w:r>
      <w:r w:rsidRPr="00A713F9">
        <w:rPr>
          <w:rFonts w:cstheme="minorHAnsi"/>
          <w:iCs/>
        </w:rPr>
        <w:t>ciljem 2.</w:t>
      </w:r>
      <w:r w:rsidR="005E7F08" w:rsidRPr="00A713F9">
        <w:rPr>
          <w:rFonts w:cstheme="minorHAnsi"/>
          <w:iCs/>
        </w:rPr>
        <w:t>3</w:t>
      </w:r>
      <w:r w:rsidRPr="00A713F9">
        <w:rPr>
          <w:rFonts w:cstheme="minorHAnsi"/>
          <w:iCs/>
        </w:rPr>
        <w:t xml:space="preserve">. Unaprjeđenje pružanja znanstvenih, istraživačkih ili </w:t>
      </w:r>
      <w:r w:rsidRPr="00A713F9">
        <w:rPr>
          <w:rFonts w:cstheme="minorHAnsi"/>
          <w:iCs/>
        </w:rPr>
        <w:lastRenderedPageBreak/>
        <w:t>tehnoloških usluga na slobodnom tržištu, uključujući usluge za razvoj kulture i obrazovanja. U nastavku su prikazane početne, srednje i cilj</w:t>
      </w:r>
      <w:r w:rsidR="00890A31" w:rsidRPr="00A713F9">
        <w:rPr>
          <w:rFonts w:cstheme="minorHAnsi"/>
          <w:iCs/>
        </w:rPr>
        <w:t>a</w:t>
      </w:r>
      <w:r w:rsidRPr="00A713F9">
        <w:rPr>
          <w:rFonts w:cstheme="minorHAnsi"/>
          <w:iCs/>
        </w:rPr>
        <w:t>ne vrijednosti pokazatelja vezanih uz ovaj posebni cilj.</w:t>
      </w:r>
    </w:p>
    <w:p w14:paraId="18014E2C" w14:textId="77777777" w:rsidR="00890A31" w:rsidRPr="00457DD6" w:rsidRDefault="00890A31" w:rsidP="00457DD6">
      <w:pPr>
        <w:jc w:val="both"/>
        <w:rPr>
          <w:rFonts w:cstheme="minorHAnsi"/>
        </w:rPr>
      </w:pP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2698"/>
        <w:gridCol w:w="1319"/>
        <w:gridCol w:w="1319"/>
        <w:gridCol w:w="1319"/>
      </w:tblGrid>
      <w:tr w:rsidR="00B96E0C" w:rsidRPr="007042CA" w14:paraId="17B21427" w14:textId="77777777" w:rsidTr="00B02658">
        <w:trPr>
          <w:trHeight w:val="400"/>
        </w:trPr>
        <w:tc>
          <w:tcPr>
            <w:tcW w:w="2397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A07D32" w14:textId="5F04FB6A" w:rsidR="00B96E0C" w:rsidRPr="007042CA" w:rsidRDefault="00B96E0C" w:rsidP="00E02110">
            <w:pPr>
              <w:jc w:val="center"/>
            </w:pPr>
            <w:r w:rsidRPr="007042CA">
              <w:rPr>
                <w:b/>
                <w:bCs/>
              </w:rPr>
              <w:t>Posebni cilj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1CEFDCF4" w14:textId="77777777" w:rsidR="00B96E0C" w:rsidRPr="007042CA" w:rsidRDefault="00B96E0C" w:rsidP="00E02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Pokazatelj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38FC44CC" w14:textId="77777777" w:rsidR="00B96E0C" w:rsidRPr="000C2123" w:rsidRDefault="00B96E0C" w:rsidP="00E02110">
            <w:pPr>
              <w:jc w:val="center"/>
              <w:rPr>
                <w:b/>
                <w:bCs/>
              </w:rPr>
            </w:pPr>
            <w:r w:rsidRPr="000C2123">
              <w:rPr>
                <w:b/>
                <w:bCs/>
              </w:rPr>
              <w:t>Početna vrijednost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40E81CE0" w14:textId="77777777" w:rsidR="00B96E0C" w:rsidRPr="000C2123" w:rsidRDefault="00B96E0C" w:rsidP="00E02110">
            <w:pPr>
              <w:jc w:val="center"/>
              <w:rPr>
                <w:b/>
                <w:bCs/>
              </w:rPr>
            </w:pPr>
            <w:r w:rsidRPr="000C2123">
              <w:rPr>
                <w:b/>
                <w:bCs/>
              </w:rPr>
              <w:t>Vrijednost na ključnoj točki ostvarenja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23A8A441" w14:textId="77777777" w:rsidR="00B96E0C" w:rsidRPr="000C2123" w:rsidRDefault="00B96E0C" w:rsidP="00E02110">
            <w:pPr>
              <w:jc w:val="center"/>
              <w:rPr>
                <w:b/>
                <w:bCs/>
              </w:rPr>
            </w:pPr>
            <w:r w:rsidRPr="000C2123">
              <w:rPr>
                <w:b/>
                <w:bCs/>
              </w:rPr>
              <w:t>Ciljana vrijednost</w:t>
            </w:r>
          </w:p>
        </w:tc>
      </w:tr>
      <w:tr w:rsidR="00B96E0C" w:rsidRPr="007042CA" w14:paraId="7A7B04B6" w14:textId="77777777" w:rsidTr="00A713F9">
        <w:trPr>
          <w:trHeight w:val="1130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CCFAC" w14:textId="5D455D06" w:rsidR="00B96E0C" w:rsidRPr="00A713F9" w:rsidRDefault="00B96E0C" w:rsidP="00B02658">
            <w:pPr>
              <w:rPr>
                <w:sz w:val="20"/>
                <w:szCs w:val="20"/>
              </w:rPr>
            </w:pPr>
            <w:r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  <w:r w:rsidR="00BA71C1"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. Unaprjeđenje pružanja znanstvenih, istraživačkih ili tehnoloških usluga na slobodnom tržištu, uključujući usluge za razvoj kulture i obrazovanja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7F9D7" w14:textId="25595E78" w:rsidR="00B96E0C" w:rsidRPr="00A713F9" w:rsidRDefault="00B96E0C" w:rsidP="00B02658">
            <w:pPr>
              <w:rPr>
                <w:sz w:val="20"/>
                <w:szCs w:val="20"/>
              </w:rPr>
            </w:pPr>
            <w:r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A71C1"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.3</w:t>
            </w:r>
            <w:r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.1. Broj ugovorenih projekata za pružanje usluga gospodarstvu i javnim tijelima u razvoju kulture i obrazovanja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028666E" w14:textId="77777777" w:rsidR="00B96E0C" w:rsidRPr="00A713F9" w:rsidRDefault="00B96E0C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89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8EE3BB7" w14:textId="6A40679B" w:rsidR="00B96E0C" w:rsidRPr="00A713F9" w:rsidRDefault="00BA71C1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92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675A656" w14:textId="77777777" w:rsidR="00B96E0C" w:rsidRPr="00A713F9" w:rsidRDefault="00B96E0C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95</w:t>
            </w:r>
          </w:p>
        </w:tc>
      </w:tr>
      <w:tr w:rsidR="00B96E0C" w:rsidRPr="007042CA" w14:paraId="417E3789" w14:textId="77777777" w:rsidTr="00A713F9">
        <w:trPr>
          <w:trHeight w:val="1130"/>
        </w:trPr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0A14B" w14:textId="77777777" w:rsidR="00B96E0C" w:rsidRPr="00BA71C1" w:rsidRDefault="00B96E0C" w:rsidP="00B02658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898BB" w14:textId="77777777" w:rsidR="00B96E0C" w:rsidRPr="00A713F9" w:rsidRDefault="00B96E0C" w:rsidP="00B02658">
            <w:pPr>
              <w:rPr>
                <w:sz w:val="20"/>
                <w:szCs w:val="20"/>
              </w:rPr>
            </w:pPr>
            <w:r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2.1.2. Vrijednost projekata za usluge gospodarstvu i javnim tijelima u razvoju kulture i obrazovanja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13819A5" w14:textId="6163AB42" w:rsidR="00B96E0C" w:rsidRPr="00A713F9" w:rsidRDefault="00BA71C1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1.509.640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03CB55E" w14:textId="29838C48" w:rsidR="00B96E0C" w:rsidRPr="00A713F9" w:rsidRDefault="00BA71C1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1.546.604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406BC99" w14:textId="7E4311B6" w:rsidR="00B96E0C" w:rsidRPr="00A713F9" w:rsidRDefault="00BA71C1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1.617.053</w:t>
            </w:r>
          </w:p>
        </w:tc>
      </w:tr>
    </w:tbl>
    <w:p w14:paraId="5455149F" w14:textId="77777777" w:rsidR="00890A31" w:rsidRDefault="00890A31" w:rsidP="00457DD6">
      <w:pPr>
        <w:rPr>
          <w:rFonts w:eastAsia="Times New Roman" w:cs="Arial"/>
        </w:rPr>
      </w:pPr>
    </w:p>
    <w:p w14:paraId="3E39C24C" w14:textId="77777777" w:rsidR="00946EFF" w:rsidRPr="00457DD6" w:rsidRDefault="00946EFF" w:rsidP="00457DD6">
      <w:pPr>
        <w:rPr>
          <w:rFonts w:eastAsia="Times New Roman" w:cs="Arial"/>
        </w:rPr>
      </w:pPr>
    </w:p>
    <w:p w14:paraId="04051E15" w14:textId="0531EF26" w:rsidR="00884B10" w:rsidRPr="009D005B" w:rsidRDefault="00884B10" w:rsidP="00884B10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A622</w:t>
      </w:r>
      <w:r w:rsidR="00F6792F">
        <w:rPr>
          <w:b/>
          <w:sz w:val="28"/>
        </w:rPr>
        <w:t>153</w:t>
      </w:r>
      <w:r>
        <w:rPr>
          <w:b/>
          <w:sz w:val="28"/>
        </w:rPr>
        <w:t xml:space="preserve"> </w:t>
      </w:r>
      <w:r w:rsidR="00705C76">
        <w:rPr>
          <w:b/>
          <w:sz w:val="28"/>
        </w:rPr>
        <w:t xml:space="preserve">SAMOSTALNA DJELATNOST JAVNIH INSTITUTA - </w:t>
      </w:r>
      <w:r>
        <w:rPr>
          <w:b/>
          <w:sz w:val="28"/>
        </w:rPr>
        <w:t xml:space="preserve">EU PROJEKTI JAVNIH INSTITUTA </w:t>
      </w:r>
      <w:r w:rsidR="0022377B">
        <w:rPr>
          <w:b/>
          <w:sz w:val="28"/>
        </w:rPr>
        <w:t xml:space="preserve">- </w:t>
      </w:r>
      <w:r>
        <w:rPr>
          <w:b/>
          <w:sz w:val="28"/>
        </w:rPr>
        <w:t>IZ EVIDENCIJSKIH PRIHODA</w:t>
      </w:r>
      <w:r w:rsidR="0022377B">
        <w:rPr>
          <w:b/>
          <w:sz w:val="28"/>
        </w:rPr>
        <w:t xml:space="preserve"> </w:t>
      </w:r>
    </w:p>
    <w:p w14:paraId="535FB031" w14:textId="0520B8C4" w:rsidR="00884B10" w:rsidRDefault="00884B10" w:rsidP="00884B10">
      <w:pPr>
        <w:spacing w:after="0"/>
        <w:jc w:val="both"/>
        <w:rPr>
          <w:rFonts w:cstheme="minorHAnsi"/>
          <w:iCs/>
        </w:rPr>
      </w:pPr>
      <w:r w:rsidRPr="00E02110">
        <w:rPr>
          <w:rFonts w:cstheme="minorHAnsi"/>
          <w:iCs/>
        </w:rPr>
        <w:t>Zakonske i druge pravne osnove</w:t>
      </w:r>
      <w:r w:rsidR="00890A31" w:rsidRPr="00E02110">
        <w:rPr>
          <w:rFonts w:cstheme="minorHAnsi"/>
          <w:iCs/>
        </w:rPr>
        <w:t>:</w:t>
      </w:r>
    </w:p>
    <w:p w14:paraId="1D85E67C" w14:textId="77777777" w:rsidR="00DC74E2" w:rsidRPr="00E02110" w:rsidRDefault="00DC74E2" w:rsidP="00884B10">
      <w:pPr>
        <w:spacing w:after="0"/>
        <w:jc w:val="both"/>
        <w:rPr>
          <w:rFonts w:cstheme="minorHAnsi"/>
          <w:iCs/>
        </w:rPr>
      </w:pPr>
    </w:p>
    <w:p w14:paraId="0853697D" w14:textId="77777777" w:rsidR="00DC74E2" w:rsidRPr="00E02110" w:rsidRDefault="00DC74E2" w:rsidP="00DC74E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 xml:space="preserve">Zakon o ustanovama </w:t>
      </w:r>
    </w:p>
    <w:p w14:paraId="0302947D" w14:textId="77777777" w:rsidR="00DC74E2" w:rsidRPr="00E02110" w:rsidRDefault="00DC74E2" w:rsidP="00DC74E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 xml:space="preserve">Zakon o </w:t>
      </w:r>
      <w:r>
        <w:rPr>
          <w:rFonts w:ascii="Calibri" w:hAnsi="Calibri" w:cs="Calibri"/>
          <w:iCs/>
        </w:rPr>
        <w:t>visokom obrazovanju i znanstvenoj djelatnosti</w:t>
      </w:r>
    </w:p>
    <w:p w14:paraId="15073C1B" w14:textId="77777777" w:rsidR="00DC74E2" w:rsidRPr="00E02110" w:rsidRDefault="00DC74E2" w:rsidP="00DC74E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>Zakon o radu</w:t>
      </w:r>
    </w:p>
    <w:p w14:paraId="5199903B" w14:textId="77777777" w:rsidR="00DC74E2" w:rsidRPr="00E02110" w:rsidRDefault="00DC74E2" w:rsidP="00DC74E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>Zakon o zaštiti na radu</w:t>
      </w:r>
    </w:p>
    <w:p w14:paraId="0B3F0FAA" w14:textId="77777777" w:rsidR="00DC74E2" w:rsidRPr="00E02110" w:rsidRDefault="00DC74E2" w:rsidP="00DC74E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 xml:space="preserve">Zakon o plaćama u </w:t>
      </w:r>
      <w:r>
        <w:rPr>
          <w:rFonts w:ascii="Calibri" w:hAnsi="Calibri" w:cs="Calibri"/>
          <w:iCs/>
        </w:rPr>
        <w:t>državnoj i javnim službama</w:t>
      </w:r>
    </w:p>
    <w:p w14:paraId="0D489346" w14:textId="67A2DA5E" w:rsidR="00DC74E2" w:rsidRPr="00E02110" w:rsidRDefault="00DC74E2" w:rsidP="00DC74E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 xml:space="preserve">Uredba o nazivima radnih mjesta </w:t>
      </w:r>
      <w:r w:rsidR="00903F1F">
        <w:rPr>
          <w:rFonts w:ascii="Calibri" w:hAnsi="Calibri" w:cs="Calibri"/>
          <w:iCs/>
        </w:rPr>
        <w:t>uvjetima</w:t>
      </w:r>
      <w:r>
        <w:rPr>
          <w:rFonts w:ascii="Calibri" w:hAnsi="Calibri" w:cs="Calibri"/>
          <w:iCs/>
        </w:rPr>
        <w:t xml:space="preserve"> za raspored i koeficijentima za obračun plaća u javnim službama</w:t>
      </w:r>
    </w:p>
    <w:p w14:paraId="3446A5D8" w14:textId="77777777" w:rsidR="00DC74E2" w:rsidRPr="00E02110" w:rsidRDefault="00DC74E2" w:rsidP="00DC74E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>Zakon o provedbi Opće uredbe o zaštiti podataka</w:t>
      </w:r>
    </w:p>
    <w:p w14:paraId="155518E7" w14:textId="77777777" w:rsidR="00DC74E2" w:rsidRPr="00E02110" w:rsidRDefault="00DC74E2" w:rsidP="00DC74E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>Zakon o pravu na pristup informacijama</w:t>
      </w:r>
    </w:p>
    <w:p w14:paraId="7CA909B1" w14:textId="77777777" w:rsidR="00DC74E2" w:rsidRDefault="00DC74E2" w:rsidP="00DC74E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 xml:space="preserve">Pravilnik o </w:t>
      </w:r>
      <w:r>
        <w:rPr>
          <w:rFonts w:ascii="Calibri" w:hAnsi="Calibri" w:cs="Calibri"/>
          <w:iCs/>
        </w:rPr>
        <w:t xml:space="preserve">mjerilima i načinu korištenja namjenskih prihoda proračunskih korisnika iz nadležnosti Ministarstva znanosti, obrazovanja i mladih </w:t>
      </w:r>
    </w:p>
    <w:p w14:paraId="7BE5B8D8" w14:textId="77777777" w:rsidR="00DC74E2" w:rsidRPr="00E02110" w:rsidRDefault="00DC74E2" w:rsidP="00DC74E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Pravilnik o mjerilima i načinu korištenja namjenskih prihoda proračunskih korisnika iz nadležnosti Ministarstva znanosti, obrazovanja i mladih</w:t>
      </w:r>
    </w:p>
    <w:p w14:paraId="36F125E3" w14:textId="77777777" w:rsidR="00DC74E2" w:rsidRPr="00E02110" w:rsidRDefault="00DC74E2" w:rsidP="00DC74E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>Pravilnik o znanstvenim i umjetničkim područjima, poljima i granama</w:t>
      </w:r>
    </w:p>
    <w:p w14:paraId="5C475333" w14:textId="77777777" w:rsidR="00DC74E2" w:rsidRDefault="00DC74E2" w:rsidP="00DC74E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Odluka o obliku i detaljnijem sadržaju dopusnice za rad visokog učilišta, odnosno znanstvenog instituta te dopusnice za izvođenje studija</w:t>
      </w:r>
    </w:p>
    <w:p w14:paraId="374FAE49" w14:textId="77777777" w:rsidR="00DC74E2" w:rsidRPr="00E02110" w:rsidRDefault="00DC74E2" w:rsidP="00DC74E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lastRenderedPageBreak/>
        <w:t>Uredba o programskom financiranju javnih visokih učilišta i javnih znanstvenih instituta u Republici Hrvatskoj</w:t>
      </w:r>
    </w:p>
    <w:p w14:paraId="06DDE96F" w14:textId="77777777" w:rsidR="00DC74E2" w:rsidRPr="00E02110" w:rsidRDefault="00DC74E2" w:rsidP="00DC74E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  <w:iCs/>
        </w:rPr>
      </w:pPr>
      <w:r w:rsidRPr="00E02110">
        <w:rPr>
          <w:rFonts w:ascii="Calibri" w:hAnsi="Calibri" w:cs="Calibri"/>
          <w:iCs/>
        </w:rPr>
        <w:t>Pravilniku o uvjetima za izbor u znanstvena zvanja</w:t>
      </w:r>
    </w:p>
    <w:p w14:paraId="0A5102AC" w14:textId="77777777" w:rsidR="00DC74E2" w:rsidRDefault="00DC74E2" w:rsidP="00DC74E2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</w:rPr>
      </w:pPr>
      <w:r w:rsidRPr="00C10222">
        <w:rPr>
          <w:rFonts w:ascii="Calibri" w:hAnsi="Calibri" w:cs="Calibri"/>
        </w:rPr>
        <w:t xml:space="preserve">Pravilnik o unutarnjem </w:t>
      </w:r>
      <w:r>
        <w:rPr>
          <w:rFonts w:ascii="Calibri" w:hAnsi="Calibri" w:cs="Calibri"/>
        </w:rPr>
        <w:t>ustrojstvu radnih mjesta</w:t>
      </w:r>
    </w:p>
    <w:p w14:paraId="60E02E90" w14:textId="77777777" w:rsidR="00DC74E2" w:rsidRDefault="00DC74E2" w:rsidP="00DC74E2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Temeljni kolektivni ugovor za službenike i namještenike u javnim službama</w:t>
      </w:r>
    </w:p>
    <w:p w14:paraId="13673F5B" w14:textId="77777777" w:rsidR="00DC74E2" w:rsidRPr="00C10222" w:rsidRDefault="00DC74E2" w:rsidP="00DC74E2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Kolektivni ugovor za znanost i visoko obrazovanje s dodatkom</w:t>
      </w:r>
    </w:p>
    <w:p w14:paraId="7AF62EE4" w14:textId="77777777" w:rsidR="00DC74E2" w:rsidRDefault="00DC74E2" w:rsidP="00DC74E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Statut Instituta za turizam</w:t>
      </w:r>
    </w:p>
    <w:p w14:paraId="5171E0CE" w14:textId="77777777" w:rsidR="00DC74E2" w:rsidRDefault="00DC74E2" w:rsidP="00DC74E2">
      <w:pPr>
        <w:pStyle w:val="ListParagraph"/>
        <w:numPr>
          <w:ilvl w:val="0"/>
          <w:numId w:val="27"/>
        </w:numPr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Ostali opći/interni akti Instituta za turizam.</w:t>
      </w:r>
    </w:p>
    <w:p w14:paraId="6BAD1AA2" w14:textId="7BF5AA17" w:rsidR="00521831" w:rsidRDefault="00521831" w:rsidP="00DC74E2">
      <w:pPr>
        <w:spacing w:after="200" w:line="360" w:lineRule="auto"/>
        <w:rPr>
          <w:rFonts w:ascii="Calibri" w:hAnsi="Calibri" w:cs="Calibri"/>
        </w:rPr>
      </w:pPr>
    </w:p>
    <w:p w14:paraId="4FB90721" w14:textId="77777777" w:rsidR="00DC74E2" w:rsidRPr="00DC74E2" w:rsidRDefault="00DC74E2" w:rsidP="00DC74E2">
      <w:pPr>
        <w:spacing w:after="200" w:line="360" w:lineRule="auto"/>
        <w:rPr>
          <w:rFonts w:ascii="Calibri" w:hAnsi="Calibr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8"/>
        <w:gridCol w:w="1401"/>
        <w:gridCol w:w="1394"/>
        <w:gridCol w:w="1386"/>
        <w:gridCol w:w="1388"/>
        <w:gridCol w:w="1405"/>
      </w:tblGrid>
      <w:tr w:rsidR="002246B7" w:rsidRPr="009D005B" w14:paraId="00BCA49B" w14:textId="77777777" w:rsidTr="00E02110">
        <w:tc>
          <w:tcPr>
            <w:tcW w:w="1152" w:type="pct"/>
            <w:shd w:val="clear" w:color="auto" w:fill="D0CECE" w:themeFill="background2" w:themeFillShade="E6"/>
          </w:tcPr>
          <w:p w14:paraId="3D6D1DC4" w14:textId="77777777" w:rsidR="002246B7" w:rsidRPr="00E02110" w:rsidRDefault="002246B7" w:rsidP="00371CA9">
            <w:pPr>
              <w:jc w:val="both"/>
              <w:rPr>
                <w:b/>
                <w:bCs/>
              </w:rPr>
            </w:pPr>
          </w:p>
          <w:p w14:paraId="1E1BAD11" w14:textId="77777777" w:rsidR="002246B7" w:rsidRPr="00E02110" w:rsidRDefault="002246B7" w:rsidP="00371CA9">
            <w:pPr>
              <w:jc w:val="both"/>
              <w:rPr>
                <w:b/>
                <w:bCs/>
              </w:rPr>
            </w:pPr>
          </w:p>
        </w:tc>
        <w:tc>
          <w:tcPr>
            <w:tcW w:w="773" w:type="pct"/>
            <w:shd w:val="clear" w:color="auto" w:fill="D0CECE" w:themeFill="background2" w:themeFillShade="E6"/>
            <w:vAlign w:val="center"/>
          </w:tcPr>
          <w:p w14:paraId="58133520" w14:textId="3D1DB180" w:rsidR="002246B7" w:rsidRPr="00E02110" w:rsidRDefault="0060729D" w:rsidP="00B92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IZVRŠENJE</w:t>
            </w:r>
            <w:r w:rsidR="002246B7" w:rsidRPr="00E02110">
              <w:rPr>
                <w:b/>
                <w:bCs/>
              </w:rPr>
              <w:t xml:space="preserve"> 2023.</w:t>
            </w:r>
          </w:p>
        </w:tc>
        <w:tc>
          <w:tcPr>
            <w:tcW w:w="769" w:type="pct"/>
            <w:shd w:val="clear" w:color="auto" w:fill="D0CECE" w:themeFill="background2" w:themeFillShade="E6"/>
            <w:vAlign w:val="center"/>
          </w:tcPr>
          <w:p w14:paraId="73E9E50A" w14:textId="6B9BEFC0" w:rsidR="002246B7" w:rsidRPr="00E02110" w:rsidRDefault="0060729D" w:rsidP="00B92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2024</w:t>
            </w:r>
            <w:r w:rsidR="002246B7" w:rsidRPr="00E02110">
              <w:rPr>
                <w:b/>
                <w:bCs/>
              </w:rPr>
              <w:t>.</w:t>
            </w:r>
          </w:p>
        </w:tc>
        <w:tc>
          <w:tcPr>
            <w:tcW w:w="765" w:type="pct"/>
            <w:shd w:val="clear" w:color="auto" w:fill="D0CECE" w:themeFill="background2" w:themeFillShade="E6"/>
            <w:vAlign w:val="center"/>
          </w:tcPr>
          <w:p w14:paraId="6F04975B" w14:textId="1D94F158" w:rsidR="002246B7" w:rsidRPr="00E02110" w:rsidRDefault="0060729D" w:rsidP="00B92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2025</w:t>
            </w:r>
            <w:r w:rsidR="002246B7" w:rsidRPr="00E02110">
              <w:rPr>
                <w:b/>
                <w:bCs/>
              </w:rPr>
              <w:t>.</w:t>
            </w:r>
          </w:p>
        </w:tc>
        <w:tc>
          <w:tcPr>
            <w:tcW w:w="766" w:type="pct"/>
            <w:shd w:val="clear" w:color="auto" w:fill="D0CECE" w:themeFill="background2" w:themeFillShade="E6"/>
            <w:vAlign w:val="center"/>
          </w:tcPr>
          <w:p w14:paraId="1E2F7F76" w14:textId="6115F7A0" w:rsidR="002246B7" w:rsidRPr="00E02110" w:rsidRDefault="0060729D" w:rsidP="00B92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2026</w:t>
            </w:r>
            <w:r w:rsidR="002246B7" w:rsidRPr="00E02110">
              <w:rPr>
                <w:b/>
                <w:bCs/>
              </w:rPr>
              <w:t>.</w:t>
            </w:r>
          </w:p>
        </w:tc>
        <w:tc>
          <w:tcPr>
            <w:tcW w:w="776" w:type="pct"/>
            <w:shd w:val="clear" w:color="auto" w:fill="D0CECE" w:themeFill="background2" w:themeFillShade="E6"/>
            <w:vAlign w:val="center"/>
          </w:tcPr>
          <w:p w14:paraId="1F39A005" w14:textId="280BA821" w:rsidR="002246B7" w:rsidRPr="00E02110" w:rsidRDefault="0060729D" w:rsidP="00D45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2027</w:t>
            </w:r>
          </w:p>
        </w:tc>
      </w:tr>
      <w:tr w:rsidR="002246B7" w:rsidRPr="009D005B" w14:paraId="20355A96" w14:textId="77777777" w:rsidTr="00E02110">
        <w:tc>
          <w:tcPr>
            <w:tcW w:w="1152" w:type="pct"/>
          </w:tcPr>
          <w:p w14:paraId="6003780B" w14:textId="798CA997" w:rsidR="002246B7" w:rsidRDefault="002246B7" w:rsidP="00371CA9">
            <w:r w:rsidRPr="004C69EB">
              <w:t>A6221</w:t>
            </w:r>
            <w:r w:rsidR="00F6792F">
              <w:t>53</w:t>
            </w:r>
            <w:r w:rsidRPr="004C69EB">
              <w:t xml:space="preserve"> EU PROJEKTI JAVNIH INSTITUTA (IZ EVIDENCIJSKIH PRIHODA)</w:t>
            </w:r>
          </w:p>
          <w:p w14:paraId="00211E82" w14:textId="77777777" w:rsidR="002246B7" w:rsidRPr="009D005B" w:rsidRDefault="002246B7" w:rsidP="00371CA9"/>
        </w:tc>
        <w:tc>
          <w:tcPr>
            <w:tcW w:w="773" w:type="pct"/>
          </w:tcPr>
          <w:p w14:paraId="2D45DE62" w14:textId="288536FB" w:rsidR="002246B7" w:rsidRPr="009D005B" w:rsidRDefault="00714667" w:rsidP="00E02110">
            <w:pPr>
              <w:jc w:val="right"/>
            </w:pPr>
            <w:r>
              <w:t>16.850 EUR</w:t>
            </w:r>
            <w:r w:rsidR="002246B7">
              <w:t xml:space="preserve"> </w:t>
            </w:r>
          </w:p>
        </w:tc>
        <w:tc>
          <w:tcPr>
            <w:tcW w:w="769" w:type="pct"/>
          </w:tcPr>
          <w:p w14:paraId="6C711C76" w14:textId="4000857C" w:rsidR="002246B7" w:rsidRPr="009D005B" w:rsidRDefault="00714667" w:rsidP="00E02110">
            <w:pPr>
              <w:jc w:val="right"/>
            </w:pPr>
            <w:r>
              <w:t>68.136 EUR</w:t>
            </w:r>
            <w:r w:rsidR="002246B7">
              <w:t xml:space="preserve"> </w:t>
            </w:r>
          </w:p>
        </w:tc>
        <w:tc>
          <w:tcPr>
            <w:tcW w:w="765" w:type="pct"/>
          </w:tcPr>
          <w:p w14:paraId="4A5DDC7E" w14:textId="6F0DBE89" w:rsidR="002246B7" w:rsidRPr="009D005B" w:rsidRDefault="0060729D" w:rsidP="00E02110">
            <w:pPr>
              <w:jc w:val="right"/>
            </w:pPr>
            <w:r>
              <w:t>106.408 EUR</w:t>
            </w:r>
          </w:p>
        </w:tc>
        <w:tc>
          <w:tcPr>
            <w:tcW w:w="766" w:type="pct"/>
          </w:tcPr>
          <w:p w14:paraId="0DE0B0E8" w14:textId="11560741" w:rsidR="002246B7" w:rsidRPr="009D005B" w:rsidRDefault="0060729D" w:rsidP="00E02110">
            <w:pPr>
              <w:jc w:val="right"/>
            </w:pPr>
            <w:r>
              <w:t>93.713</w:t>
            </w:r>
            <w:r w:rsidR="00714667">
              <w:t xml:space="preserve"> EUR</w:t>
            </w:r>
          </w:p>
        </w:tc>
        <w:tc>
          <w:tcPr>
            <w:tcW w:w="776" w:type="pct"/>
          </w:tcPr>
          <w:p w14:paraId="7FEF73AB" w14:textId="246114BC" w:rsidR="002246B7" w:rsidRPr="009D005B" w:rsidRDefault="0060729D" w:rsidP="00E02110">
            <w:pPr>
              <w:jc w:val="right"/>
            </w:pPr>
            <w:r>
              <w:t>16.108</w:t>
            </w:r>
            <w:r w:rsidR="00714667">
              <w:t xml:space="preserve"> EUR</w:t>
            </w:r>
          </w:p>
        </w:tc>
      </w:tr>
    </w:tbl>
    <w:p w14:paraId="227D43EE" w14:textId="0E8A0A2B" w:rsidR="00D32B08" w:rsidRDefault="00D32B08" w:rsidP="00884B10">
      <w:pPr>
        <w:spacing w:before="240"/>
        <w:jc w:val="both"/>
        <w:rPr>
          <w:rFonts w:cstheme="minorHAnsi"/>
          <w:iCs/>
        </w:rPr>
      </w:pPr>
      <w:r>
        <w:rPr>
          <w:rFonts w:cstheme="minorHAnsi"/>
          <w:iCs/>
        </w:rPr>
        <w:t>Sredstva su planirana temeljem potpisanih ugovora u 2024. godini.</w:t>
      </w:r>
    </w:p>
    <w:p w14:paraId="39E102E3" w14:textId="210045AA" w:rsidR="001709A1" w:rsidRPr="00CA14E8" w:rsidRDefault="00884B10" w:rsidP="00884B10">
      <w:pPr>
        <w:spacing w:before="240"/>
        <w:jc w:val="both"/>
        <w:rPr>
          <w:rFonts w:cstheme="minorHAnsi"/>
          <w:iCs/>
        </w:rPr>
      </w:pPr>
      <w:r w:rsidRPr="00CA14E8">
        <w:rPr>
          <w:rFonts w:cstheme="minorHAnsi"/>
          <w:iCs/>
        </w:rPr>
        <w:t xml:space="preserve">Ova aktivnost/ projekt sastoji se od sljedećih </w:t>
      </w:r>
      <w:r w:rsidR="001709A1" w:rsidRPr="00CA14E8">
        <w:rPr>
          <w:rFonts w:cstheme="minorHAnsi"/>
          <w:iCs/>
        </w:rPr>
        <w:t>podprojekata:</w:t>
      </w:r>
    </w:p>
    <w:p w14:paraId="52BD4C4A" w14:textId="56C18E9C" w:rsidR="00890A31" w:rsidRPr="00CA14E8" w:rsidRDefault="00CA14E8" w:rsidP="00E02110">
      <w:pPr>
        <w:pStyle w:val="ListParagraph"/>
        <w:numPr>
          <w:ilvl w:val="0"/>
          <w:numId w:val="16"/>
        </w:numPr>
        <w:ind w:left="360"/>
        <w:jc w:val="both"/>
        <w:rPr>
          <w:rFonts w:cstheme="minorHAnsi"/>
          <w:iCs/>
        </w:rPr>
      </w:pPr>
      <w:r>
        <w:rPr>
          <w:rFonts w:cstheme="minorHAnsi"/>
          <w:iCs/>
        </w:rPr>
        <w:t>Interrg Euro-MED Na Tour4CCjamge</w:t>
      </w:r>
      <w:r w:rsidR="004923A4" w:rsidRPr="00CA14E8">
        <w:rPr>
          <w:rFonts w:cstheme="minorHAnsi"/>
          <w:iCs/>
        </w:rPr>
        <w:t>).</w:t>
      </w:r>
      <w:r w:rsidR="00AD2319" w:rsidRPr="00CA14E8">
        <w:rPr>
          <w:rFonts w:cstheme="minorHAnsi"/>
          <w:iCs/>
        </w:rPr>
        <w:t xml:space="preserve"> </w:t>
      </w:r>
      <w:r w:rsidR="004923A4" w:rsidRPr="00CA14E8">
        <w:rPr>
          <w:rFonts w:cstheme="minorHAnsi"/>
          <w:iCs/>
        </w:rPr>
        <w:t>Projekt traje od 01.01.202</w:t>
      </w:r>
      <w:r>
        <w:rPr>
          <w:rFonts w:cstheme="minorHAnsi"/>
          <w:iCs/>
        </w:rPr>
        <w:t>4</w:t>
      </w:r>
      <w:r w:rsidR="004923A4" w:rsidRPr="00CA14E8">
        <w:rPr>
          <w:rFonts w:cstheme="minorHAnsi"/>
          <w:iCs/>
        </w:rPr>
        <w:t>. do 30.</w:t>
      </w:r>
      <w:r>
        <w:rPr>
          <w:rFonts w:cstheme="minorHAnsi"/>
          <w:iCs/>
        </w:rPr>
        <w:t>09</w:t>
      </w:r>
      <w:r w:rsidR="004923A4" w:rsidRPr="00CA14E8">
        <w:rPr>
          <w:rFonts w:cstheme="minorHAnsi"/>
          <w:iCs/>
        </w:rPr>
        <w:t>.202</w:t>
      </w:r>
      <w:r>
        <w:rPr>
          <w:rFonts w:cstheme="minorHAnsi"/>
          <w:iCs/>
        </w:rPr>
        <w:t>6</w:t>
      </w:r>
      <w:r w:rsidR="004923A4" w:rsidRPr="00CA14E8">
        <w:rPr>
          <w:rFonts w:cstheme="minorHAnsi"/>
          <w:iCs/>
        </w:rPr>
        <w:t xml:space="preserve">. </w:t>
      </w:r>
    </w:p>
    <w:p w14:paraId="26CFFA45" w14:textId="0BBF3B9F" w:rsidR="00884B10" w:rsidRPr="00CA14E8" w:rsidRDefault="0063546E" w:rsidP="00E02110">
      <w:pPr>
        <w:pStyle w:val="ListParagraph"/>
        <w:ind w:left="360"/>
        <w:jc w:val="both"/>
        <w:rPr>
          <w:rFonts w:cstheme="minorHAnsi"/>
          <w:iCs/>
        </w:rPr>
      </w:pPr>
      <w:r>
        <w:rPr>
          <w:rFonts w:cstheme="minorHAnsi"/>
          <w:iCs/>
        </w:rPr>
        <w:t>P</w:t>
      </w:r>
      <w:r w:rsidR="004923A4" w:rsidRPr="00CA14E8">
        <w:rPr>
          <w:rFonts w:cstheme="minorHAnsi"/>
          <w:iCs/>
        </w:rPr>
        <w:t xml:space="preserve">laniran su sredstva na izvoru 51. Iznos od </w:t>
      </w:r>
      <w:r>
        <w:rPr>
          <w:rFonts w:cstheme="minorHAnsi"/>
          <w:iCs/>
        </w:rPr>
        <w:t>89.100</w:t>
      </w:r>
      <w:r w:rsidR="004923A4" w:rsidRPr="00CA14E8">
        <w:rPr>
          <w:rFonts w:cstheme="minorHAnsi"/>
          <w:iCs/>
        </w:rPr>
        <w:t xml:space="preserve"> </w:t>
      </w:r>
      <w:r>
        <w:rPr>
          <w:rFonts w:cstheme="minorHAnsi"/>
          <w:iCs/>
        </w:rPr>
        <w:t>EUR-a za 2025. godinu.</w:t>
      </w:r>
      <w:r w:rsidR="004923A4" w:rsidRPr="00CA14E8">
        <w:rPr>
          <w:rFonts w:cstheme="minorHAnsi"/>
          <w:iCs/>
        </w:rPr>
        <w:t xml:space="preserve"> U 202</w:t>
      </w:r>
      <w:r>
        <w:rPr>
          <w:rFonts w:cstheme="minorHAnsi"/>
          <w:iCs/>
        </w:rPr>
        <w:t>6</w:t>
      </w:r>
      <w:r w:rsidR="004923A4" w:rsidRPr="00CA14E8">
        <w:rPr>
          <w:rFonts w:cstheme="minorHAnsi"/>
          <w:iCs/>
        </w:rPr>
        <w:t xml:space="preserve">. godini planirano je </w:t>
      </w:r>
      <w:r>
        <w:rPr>
          <w:rFonts w:cstheme="minorHAnsi"/>
          <w:iCs/>
        </w:rPr>
        <w:t>76.410</w:t>
      </w:r>
      <w:r w:rsidR="004923A4" w:rsidRPr="00CA14E8">
        <w:rPr>
          <w:rFonts w:cstheme="minorHAnsi"/>
          <w:iCs/>
        </w:rPr>
        <w:t xml:space="preserve"> EUR-a i u 202</w:t>
      </w:r>
      <w:r>
        <w:rPr>
          <w:rFonts w:cstheme="minorHAnsi"/>
          <w:iCs/>
        </w:rPr>
        <w:t>7</w:t>
      </w:r>
      <w:r w:rsidR="004923A4" w:rsidRPr="00CA14E8">
        <w:rPr>
          <w:rFonts w:cstheme="minorHAnsi"/>
          <w:iCs/>
        </w:rPr>
        <w:t xml:space="preserve">. </w:t>
      </w:r>
    </w:p>
    <w:p w14:paraId="6CED0338" w14:textId="4626AE0E" w:rsidR="0002182A" w:rsidRPr="00CA14E8" w:rsidRDefault="006776BB" w:rsidP="00E02110">
      <w:pPr>
        <w:pStyle w:val="ListParagraph"/>
        <w:ind w:left="360"/>
        <w:jc w:val="both"/>
        <w:rPr>
          <w:rFonts w:cstheme="minorHAnsi"/>
          <w:iCs/>
        </w:rPr>
      </w:pPr>
      <w:r w:rsidRPr="00CA14E8">
        <w:rPr>
          <w:rFonts w:cstheme="minorHAnsi"/>
          <w:iCs/>
        </w:rPr>
        <w:t xml:space="preserve">Sredstva </w:t>
      </w:r>
      <w:r w:rsidR="004923A4" w:rsidRPr="00CA14E8">
        <w:rPr>
          <w:rFonts w:cstheme="minorHAnsi"/>
          <w:iCs/>
        </w:rPr>
        <w:t xml:space="preserve">su planirana za </w:t>
      </w:r>
      <w:r w:rsidR="0063546E">
        <w:rPr>
          <w:rFonts w:cstheme="minorHAnsi"/>
          <w:iCs/>
        </w:rPr>
        <w:t>plaću zaposlenih,</w:t>
      </w:r>
      <w:r w:rsidR="00D32B08">
        <w:rPr>
          <w:rFonts w:cstheme="minorHAnsi"/>
          <w:iCs/>
        </w:rPr>
        <w:t xml:space="preserve"> </w:t>
      </w:r>
      <w:r w:rsidR="004923A4" w:rsidRPr="00CA14E8">
        <w:rPr>
          <w:rFonts w:cstheme="minorHAnsi"/>
          <w:iCs/>
        </w:rPr>
        <w:t>materijalne rashode, službena putovanja, intelektualne usluge i reprezentaciju.</w:t>
      </w:r>
    </w:p>
    <w:p w14:paraId="59F3D239" w14:textId="35218AF3" w:rsidR="0050726D" w:rsidRPr="00CA14E8" w:rsidRDefault="0063546E" w:rsidP="00E02110">
      <w:pPr>
        <w:pStyle w:val="ListParagraph"/>
        <w:numPr>
          <w:ilvl w:val="0"/>
          <w:numId w:val="16"/>
        </w:numPr>
        <w:ind w:left="360"/>
        <w:jc w:val="both"/>
        <w:rPr>
          <w:rFonts w:cstheme="minorHAnsi"/>
          <w:iCs/>
        </w:rPr>
      </w:pPr>
      <w:r>
        <w:rPr>
          <w:rFonts w:cstheme="minorHAnsi"/>
          <w:iCs/>
        </w:rPr>
        <w:t>Interreg Europ REWARD</w:t>
      </w:r>
      <w:r w:rsidR="00AD2319" w:rsidRPr="00CA14E8">
        <w:rPr>
          <w:rFonts w:cstheme="minorHAnsi"/>
          <w:iCs/>
        </w:rPr>
        <w:t>. Projekt traje od 01.0</w:t>
      </w:r>
      <w:r>
        <w:rPr>
          <w:rFonts w:cstheme="minorHAnsi"/>
          <w:iCs/>
        </w:rPr>
        <w:t>4</w:t>
      </w:r>
      <w:r w:rsidR="00AD2319" w:rsidRPr="00CA14E8">
        <w:rPr>
          <w:rFonts w:cstheme="minorHAnsi"/>
          <w:iCs/>
        </w:rPr>
        <w:t>.</w:t>
      </w:r>
      <w:r>
        <w:rPr>
          <w:rFonts w:cstheme="minorHAnsi"/>
          <w:iCs/>
        </w:rPr>
        <w:t>2024</w:t>
      </w:r>
      <w:r w:rsidR="00AD2319" w:rsidRPr="00CA14E8">
        <w:rPr>
          <w:rFonts w:cstheme="minorHAnsi"/>
          <w:iCs/>
        </w:rPr>
        <w:t xml:space="preserve"> do 31.</w:t>
      </w:r>
      <w:r>
        <w:rPr>
          <w:rFonts w:cstheme="minorHAnsi"/>
          <w:iCs/>
        </w:rPr>
        <w:t>03.2027</w:t>
      </w:r>
      <w:r w:rsidR="00AD2319" w:rsidRPr="00CA14E8">
        <w:rPr>
          <w:rFonts w:cstheme="minorHAnsi"/>
          <w:iCs/>
        </w:rPr>
        <w:t>..</w:t>
      </w:r>
    </w:p>
    <w:p w14:paraId="12EB8360" w14:textId="2B5406B2" w:rsidR="00AD2319" w:rsidRDefault="0063546E" w:rsidP="00E02110">
      <w:pPr>
        <w:pStyle w:val="ListParagraph"/>
        <w:ind w:left="360"/>
        <w:jc w:val="both"/>
        <w:rPr>
          <w:rFonts w:cstheme="minorHAnsi"/>
          <w:iCs/>
        </w:rPr>
      </w:pPr>
      <w:r>
        <w:rPr>
          <w:rFonts w:cstheme="minorHAnsi"/>
          <w:iCs/>
        </w:rPr>
        <w:t>P</w:t>
      </w:r>
      <w:r w:rsidR="00AD2319" w:rsidRPr="00CA14E8">
        <w:rPr>
          <w:rFonts w:cstheme="minorHAnsi"/>
          <w:iCs/>
        </w:rPr>
        <w:t>lanirana su</w:t>
      </w:r>
      <w:r>
        <w:rPr>
          <w:rFonts w:cstheme="minorHAnsi"/>
          <w:iCs/>
        </w:rPr>
        <w:t xml:space="preserve"> sredstva</w:t>
      </w:r>
      <w:r w:rsidR="00AD2319" w:rsidRPr="00CA14E8">
        <w:rPr>
          <w:rFonts w:cstheme="minorHAnsi"/>
          <w:iCs/>
        </w:rPr>
        <w:t xml:space="preserve"> na izvoru </w:t>
      </w:r>
      <w:r>
        <w:rPr>
          <w:rFonts w:cstheme="minorHAnsi"/>
          <w:iCs/>
        </w:rPr>
        <w:t>51</w:t>
      </w:r>
      <w:r w:rsidR="00AD2319" w:rsidRPr="00CA14E8">
        <w:rPr>
          <w:rFonts w:cstheme="minorHAnsi"/>
          <w:iCs/>
        </w:rPr>
        <w:t xml:space="preserve">. Iznos od </w:t>
      </w:r>
      <w:r>
        <w:rPr>
          <w:rFonts w:cstheme="minorHAnsi"/>
          <w:iCs/>
        </w:rPr>
        <w:t>16.108 EUR-a</w:t>
      </w:r>
      <w:r w:rsidR="00AD2319" w:rsidRPr="00CA14E8">
        <w:rPr>
          <w:rFonts w:cstheme="minorHAnsi"/>
          <w:iCs/>
        </w:rPr>
        <w:t xml:space="preserve"> </w:t>
      </w:r>
      <w:r>
        <w:rPr>
          <w:rFonts w:cstheme="minorHAnsi"/>
          <w:iCs/>
        </w:rPr>
        <w:t xml:space="preserve">planiran je u 2025. godini, 16.108 EUR-a </w:t>
      </w:r>
      <w:r w:rsidR="00D32B08">
        <w:rPr>
          <w:rFonts w:cstheme="minorHAnsi"/>
          <w:iCs/>
        </w:rPr>
        <w:t>u 2026</w:t>
      </w:r>
      <w:r w:rsidR="00AD2319" w:rsidRPr="00CA14E8">
        <w:rPr>
          <w:rFonts w:cstheme="minorHAnsi"/>
          <w:iCs/>
        </w:rPr>
        <w:t xml:space="preserve">. godini, Iznos od </w:t>
      </w:r>
      <w:r w:rsidR="00D32B08">
        <w:rPr>
          <w:rFonts w:cstheme="minorHAnsi"/>
          <w:iCs/>
        </w:rPr>
        <w:t xml:space="preserve">16.108 EUR-a u 2027. godini. </w:t>
      </w:r>
    </w:p>
    <w:p w14:paraId="1C09FC74" w14:textId="5B76DDB5" w:rsidR="00D32B08" w:rsidRDefault="00D32B08" w:rsidP="00D32B08">
      <w:pPr>
        <w:pStyle w:val="ListParagraph"/>
        <w:ind w:left="360"/>
        <w:jc w:val="both"/>
        <w:rPr>
          <w:rFonts w:cstheme="minorHAnsi"/>
          <w:iCs/>
        </w:rPr>
      </w:pPr>
      <w:r w:rsidRPr="00CA14E8">
        <w:rPr>
          <w:rFonts w:cstheme="minorHAnsi"/>
          <w:iCs/>
        </w:rPr>
        <w:t>Sredstva su planirana</w:t>
      </w:r>
      <w:r w:rsidR="004C6D51">
        <w:rPr>
          <w:rFonts w:cstheme="minorHAnsi"/>
          <w:iCs/>
        </w:rPr>
        <w:t xml:space="preserve"> </w:t>
      </w:r>
      <w:r w:rsidRPr="00CA14E8">
        <w:rPr>
          <w:rFonts w:cstheme="minorHAnsi"/>
          <w:iCs/>
        </w:rPr>
        <w:t>za</w:t>
      </w:r>
      <w:r>
        <w:rPr>
          <w:rFonts w:cstheme="minorHAnsi"/>
          <w:iCs/>
        </w:rPr>
        <w:t>,</w:t>
      </w:r>
      <w:r w:rsidR="004C6D51">
        <w:rPr>
          <w:rFonts w:cstheme="minorHAnsi"/>
          <w:iCs/>
        </w:rPr>
        <w:t xml:space="preserve"> </w:t>
      </w:r>
      <w:r w:rsidRPr="00CA14E8">
        <w:rPr>
          <w:rFonts w:cstheme="minorHAnsi"/>
          <w:iCs/>
        </w:rPr>
        <w:t>materijalne rashode, službena putovanja, intelektualne usluge i reprezentaciju.</w:t>
      </w:r>
    </w:p>
    <w:p w14:paraId="365F620E" w14:textId="77777777" w:rsidR="00B96E0C" w:rsidRDefault="00B96E0C" w:rsidP="00AD2319">
      <w:pPr>
        <w:pStyle w:val="ListParagraph"/>
        <w:jc w:val="both"/>
        <w:rPr>
          <w:rFonts w:cstheme="minorHAnsi"/>
          <w:i/>
        </w:rPr>
      </w:pPr>
    </w:p>
    <w:p w14:paraId="716D56AB" w14:textId="03352B0F" w:rsidR="00457DD6" w:rsidRPr="00457DD6" w:rsidRDefault="00457DD6" w:rsidP="00CB3129">
      <w:pPr>
        <w:jc w:val="both"/>
        <w:rPr>
          <w:rFonts w:cstheme="minorHAnsi"/>
          <w:iCs/>
        </w:rPr>
      </w:pPr>
      <w:r>
        <w:rPr>
          <w:rFonts w:ascii="Calibri" w:hAnsi="Calibri" w:cs="Calibri"/>
          <w:bCs/>
        </w:rPr>
        <w:t xml:space="preserve">Prijava i sudjelovanje u </w:t>
      </w:r>
      <w:r w:rsidR="000F30BE">
        <w:rPr>
          <w:rFonts w:ascii="Calibri" w:hAnsi="Calibri" w:cs="Calibri"/>
          <w:bCs/>
        </w:rPr>
        <w:t>projektima</w:t>
      </w:r>
      <w:r>
        <w:rPr>
          <w:rFonts w:ascii="Calibri" w:hAnsi="Calibri" w:cs="Calibri"/>
          <w:bCs/>
        </w:rPr>
        <w:t xml:space="preserve"> koji se financiranju </w:t>
      </w:r>
      <w:r w:rsidR="000F30BE">
        <w:rPr>
          <w:rFonts w:ascii="Calibri" w:hAnsi="Calibri" w:cs="Calibri"/>
          <w:bCs/>
        </w:rPr>
        <w:t>sredstvima</w:t>
      </w:r>
      <w:r>
        <w:rPr>
          <w:rFonts w:ascii="Calibri" w:hAnsi="Calibri" w:cs="Calibri"/>
          <w:bCs/>
        </w:rPr>
        <w:t xml:space="preserve"> </w:t>
      </w:r>
      <w:r w:rsidR="000F30BE">
        <w:rPr>
          <w:rFonts w:ascii="Calibri" w:hAnsi="Calibri" w:cs="Calibri"/>
          <w:bCs/>
        </w:rPr>
        <w:t>Europske</w:t>
      </w:r>
      <w:r>
        <w:rPr>
          <w:rFonts w:ascii="Calibri" w:hAnsi="Calibri" w:cs="Calibri"/>
          <w:bCs/>
        </w:rPr>
        <w:t xml:space="preserve"> unije važna je aktivnost Instituta</w:t>
      </w:r>
      <w:r w:rsidR="00CB3129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za turizam te je u </w:t>
      </w:r>
      <w:r w:rsidRPr="00831BEC">
        <w:rPr>
          <w:rFonts w:cstheme="minorHAnsi"/>
          <w:iCs/>
        </w:rPr>
        <w:t>Prijedlog</w:t>
      </w:r>
      <w:r>
        <w:rPr>
          <w:rFonts w:cstheme="minorHAnsi"/>
          <w:iCs/>
        </w:rPr>
        <w:t>u</w:t>
      </w:r>
      <w:r w:rsidRPr="00831BEC">
        <w:rPr>
          <w:rFonts w:cstheme="minorHAnsi"/>
          <w:iCs/>
        </w:rPr>
        <w:t xml:space="preserve"> razvojne i izvedbene proračunske komponente Instituta za turizam, 2024. </w:t>
      </w:r>
      <w:r>
        <w:rPr>
          <w:rFonts w:cstheme="minorHAnsi"/>
          <w:iCs/>
        </w:rPr>
        <w:t>–</w:t>
      </w:r>
      <w:r w:rsidRPr="00831BEC">
        <w:rPr>
          <w:rFonts w:cstheme="minorHAnsi"/>
          <w:iCs/>
        </w:rPr>
        <w:t xml:space="preserve"> 2027</w:t>
      </w:r>
      <w:r>
        <w:rPr>
          <w:rFonts w:cstheme="minorHAnsi"/>
          <w:iCs/>
        </w:rPr>
        <w:t>. sastavni dio dva posebna cilja</w:t>
      </w:r>
      <w:r w:rsidRPr="00A713F9">
        <w:rPr>
          <w:rFonts w:cstheme="minorHAnsi"/>
          <w:iCs/>
        </w:rPr>
        <w:t>: 1.1. Povećanje sudjelovanja javnih visokih učilišta i javnih znanstvenih instituta u kompetitivnom projektnom financiranju, i 1.</w:t>
      </w:r>
      <w:r w:rsidR="005E7F08" w:rsidRPr="00A713F9">
        <w:rPr>
          <w:rFonts w:cstheme="minorHAnsi"/>
          <w:iCs/>
        </w:rPr>
        <w:t>3</w:t>
      </w:r>
      <w:r w:rsidRPr="00A713F9">
        <w:rPr>
          <w:rFonts w:cstheme="minorHAnsi"/>
          <w:iCs/>
        </w:rPr>
        <w:t>. Jačanje međunarodne znanstvene suradnje i znanstvene aktivnosti.</w:t>
      </w:r>
      <w:r w:rsidR="00890A31" w:rsidRPr="00A713F9">
        <w:rPr>
          <w:rFonts w:cstheme="minorHAnsi"/>
          <w:iCs/>
        </w:rPr>
        <w:t xml:space="preserve"> U sljedećem četverogodišnjem razdoblju planira se povećati broj projekata koji se financiraju sredstvima Europske unije, a</w:t>
      </w:r>
      <w:r w:rsidRPr="00A713F9">
        <w:rPr>
          <w:rFonts w:cstheme="minorHAnsi"/>
          <w:iCs/>
        </w:rPr>
        <w:t xml:space="preserve"> </w:t>
      </w:r>
      <w:r w:rsidR="00890A31" w:rsidRPr="00A713F9">
        <w:rPr>
          <w:rFonts w:cstheme="minorHAnsi"/>
          <w:iCs/>
        </w:rPr>
        <w:t>p</w:t>
      </w:r>
      <w:r w:rsidR="00CB3129" w:rsidRPr="00A713F9">
        <w:rPr>
          <w:rFonts w:cstheme="minorHAnsi"/>
          <w:iCs/>
        </w:rPr>
        <w:t xml:space="preserve">očetne, srednje i ciljane vrijednosti </w:t>
      </w:r>
      <w:r w:rsidR="00890A31" w:rsidRPr="00A713F9">
        <w:rPr>
          <w:rFonts w:cstheme="minorHAnsi"/>
          <w:iCs/>
        </w:rPr>
        <w:t>za navedena</w:t>
      </w:r>
      <w:r w:rsidR="00CB3129" w:rsidRPr="00A713F9">
        <w:rPr>
          <w:rFonts w:cstheme="minorHAnsi"/>
          <w:iCs/>
        </w:rPr>
        <w:t xml:space="preserve"> dva pokazatelja prikazani su u nastavku.</w:t>
      </w: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2698"/>
        <w:gridCol w:w="1319"/>
        <w:gridCol w:w="1319"/>
        <w:gridCol w:w="1319"/>
      </w:tblGrid>
      <w:tr w:rsidR="00B96E0C" w:rsidRPr="000C2123" w14:paraId="21CAA8D7" w14:textId="77777777" w:rsidTr="00B02658">
        <w:trPr>
          <w:trHeight w:val="400"/>
        </w:trPr>
        <w:tc>
          <w:tcPr>
            <w:tcW w:w="2397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06461" w14:textId="77777777" w:rsidR="00B96E0C" w:rsidRPr="007042CA" w:rsidRDefault="00B96E0C" w:rsidP="00CB3129">
            <w:pPr>
              <w:jc w:val="center"/>
            </w:pPr>
            <w:r w:rsidRPr="007042CA">
              <w:rPr>
                <w:b/>
                <w:bCs/>
              </w:rPr>
              <w:lastRenderedPageBreak/>
              <w:t>Posebni cilj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77A79C1A" w14:textId="77777777" w:rsidR="00B96E0C" w:rsidRPr="007042CA" w:rsidRDefault="00B96E0C" w:rsidP="00CB3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Pokazatelj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741C7A7E" w14:textId="77777777" w:rsidR="00B96E0C" w:rsidRPr="000C2123" w:rsidRDefault="00B96E0C" w:rsidP="00CB3129">
            <w:pPr>
              <w:jc w:val="center"/>
              <w:rPr>
                <w:b/>
                <w:bCs/>
              </w:rPr>
            </w:pPr>
            <w:r w:rsidRPr="000C2123">
              <w:rPr>
                <w:b/>
                <w:bCs/>
              </w:rPr>
              <w:t>Početna vrijednost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03942718" w14:textId="77777777" w:rsidR="00B96E0C" w:rsidRPr="000C2123" w:rsidRDefault="00B96E0C" w:rsidP="00CB3129">
            <w:pPr>
              <w:jc w:val="center"/>
              <w:rPr>
                <w:b/>
                <w:bCs/>
              </w:rPr>
            </w:pPr>
            <w:r w:rsidRPr="000C2123">
              <w:rPr>
                <w:b/>
                <w:bCs/>
              </w:rPr>
              <w:t>Vrijednost na ključnoj točki ostvarenja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65AC65CF" w14:textId="77777777" w:rsidR="00B96E0C" w:rsidRPr="000C2123" w:rsidRDefault="00B96E0C" w:rsidP="00CB3129">
            <w:pPr>
              <w:jc w:val="center"/>
              <w:rPr>
                <w:b/>
                <w:bCs/>
              </w:rPr>
            </w:pPr>
            <w:r w:rsidRPr="000C2123">
              <w:rPr>
                <w:b/>
                <w:bCs/>
              </w:rPr>
              <w:t>Ciljana vrijednost</w:t>
            </w:r>
          </w:p>
        </w:tc>
      </w:tr>
      <w:tr w:rsidR="00B96E0C" w:rsidRPr="009D294A" w14:paraId="4E45A9C6" w14:textId="77777777" w:rsidTr="00B02658">
        <w:trPr>
          <w:trHeight w:val="1130"/>
        </w:trPr>
        <w:tc>
          <w:tcPr>
            <w:tcW w:w="23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7F089" w14:textId="4EE615D5" w:rsidR="00B96E0C" w:rsidRPr="00A713F9" w:rsidRDefault="00B96E0C" w:rsidP="00CB3129">
            <w:pPr>
              <w:rPr>
                <w:sz w:val="20"/>
                <w:szCs w:val="20"/>
              </w:rPr>
            </w:pPr>
            <w:r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1.1. Povećanje sudjelovanja javnih visokih učilišta i javnih znanstvenih instituta u kompetitivnom projektnom financiranju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3938EEA" w14:textId="77777777" w:rsidR="00B96E0C" w:rsidRPr="00A713F9" w:rsidRDefault="00B96E0C" w:rsidP="00B02658">
            <w:pPr>
              <w:rPr>
                <w:sz w:val="20"/>
                <w:szCs w:val="20"/>
              </w:rPr>
            </w:pPr>
            <w:r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1.1.1. Broj uspješnih projektnih prijava na kompetitivne izvore financiranja (od čega: ERC, ostali međunarodni programi)</w:t>
            </w:r>
          </w:p>
        </w:tc>
        <w:tc>
          <w:tcPr>
            <w:tcW w:w="1319" w:type="dxa"/>
            <w:vAlign w:val="center"/>
          </w:tcPr>
          <w:p w14:paraId="3EDE6400" w14:textId="77777777" w:rsidR="00B96E0C" w:rsidRPr="00A713F9" w:rsidRDefault="00B96E0C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25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4AF284B" w14:textId="1E77A997" w:rsidR="00B96E0C" w:rsidRPr="00A713F9" w:rsidRDefault="005E7F08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26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EA9AC58" w14:textId="77777777" w:rsidR="00B96E0C" w:rsidRPr="00A713F9" w:rsidRDefault="00B96E0C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27</w:t>
            </w:r>
          </w:p>
        </w:tc>
      </w:tr>
      <w:tr w:rsidR="00B96E0C" w:rsidRPr="001E563F" w14:paraId="7EC8B108" w14:textId="77777777" w:rsidTr="00B02658">
        <w:trPr>
          <w:trHeight w:val="1130"/>
        </w:trPr>
        <w:tc>
          <w:tcPr>
            <w:tcW w:w="23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68961" w14:textId="13D17901" w:rsidR="00B96E0C" w:rsidRPr="00A713F9" w:rsidRDefault="00B96E0C" w:rsidP="00CB3129">
            <w:pPr>
              <w:rPr>
                <w:sz w:val="20"/>
                <w:szCs w:val="20"/>
              </w:rPr>
            </w:pPr>
            <w:r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 w:rsidR="005E7F08"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. Jačanje međunarodne znanstvene suradnje i znanstvene aktivnosti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7712CF3" w14:textId="579534D7" w:rsidR="00B96E0C" w:rsidRPr="00A713F9" w:rsidRDefault="00B96E0C" w:rsidP="00B02658">
            <w:pPr>
              <w:rPr>
                <w:sz w:val="20"/>
                <w:szCs w:val="20"/>
              </w:rPr>
            </w:pPr>
            <w:r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 w:rsidR="005E7F08"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A713F9">
              <w:rPr>
                <w:rFonts w:ascii="Calibri" w:hAnsi="Calibri" w:cs="Calibri"/>
                <w:color w:val="000000"/>
                <w:sz w:val="20"/>
                <w:szCs w:val="20"/>
              </w:rPr>
              <w:t>.1. Broj uspješnih projektnih prijava u suradnji s inozemnim partnerom</w:t>
            </w:r>
          </w:p>
        </w:tc>
        <w:tc>
          <w:tcPr>
            <w:tcW w:w="1319" w:type="dxa"/>
            <w:vAlign w:val="center"/>
          </w:tcPr>
          <w:p w14:paraId="0BD63C00" w14:textId="77777777" w:rsidR="00B96E0C" w:rsidRPr="00A713F9" w:rsidRDefault="00B96E0C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23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4C877AF" w14:textId="62C11AFC" w:rsidR="00B96E0C" w:rsidRPr="00A713F9" w:rsidRDefault="005E7F08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24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9A44A72" w14:textId="77777777" w:rsidR="00B96E0C" w:rsidRPr="00A713F9" w:rsidRDefault="00B96E0C" w:rsidP="00B02658">
            <w:pPr>
              <w:jc w:val="center"/>
              <w:rPr>
                <w:sz w:val="20"/>
                <w:szCs w:val="20"/>
              </w:rPr>
            </w:pPr>
            <w:r w:rsidRPr="00A713F9">
              <w:rPr>
                <w:sz w:val="20"/>
                <w:szCs w:val="20"/>
              </w:rPr>
              <w:t>26</w:t>
            </w:r>
          </w:p>
        </w:tc>
      </w:tr>
    </w:tbl>
    <w:p w14:paraId="073FC7A9" w14:textId="77777777" w:rsidR="00B96E0C" w:rsidRDefault="00B96E0C" w:rsidP="00B92B7D">
      <w:pPr>
        <w:rPr>
          <w:rFonts w:ascii="Calibri" w:hAnsi="Calibri" w:cs="Calibri"/>
          <w:b/>
        </w:rPr>
      </w:pPr>
    </w:p>
    <w:p w14:paraId="685705E9" w14:textId="77777777" w:rsidR="00DC2C27" w:rsidRDefault="00DC2C27" w:rsidP="00A77F08">
      <w:pPr>
        <w:jc w:val="both"/>
        <w:rPr>
          <w:i/>
        </w:rPr>
      </w:pPr>
    </w:p>
    <w:p w14:paraId="2CF98D95" w14:textId="4E4DE585" w:rsidR="00DC2C27" w:rsidRPr="004D70A7" w:rsidRDefault="002578EA" w:rsidP="00DC2C27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4D70A7">
        <w:rPr>
          <w:b/>
          <w:sz w:val="28"/>
        </w:rPr>
        <w:t>A</w:t>
      </w:r>
      <w:r w:rsidR="00F6792F" w:rsidRPr="004D70A7">
        <w:rPr>
          <w:b/>
          <w:sz w:val="28"/>
        </w:rPr>
        <w:t>62215</w:t>
      </w:r>
      <w:r w:rsidR="00334061" w:rsidRPr="004D70A7">
        <w:rPr>
          <w:b/>
          <w:sz w:val="28"/>
        </w:rPr>
        <w:t>2</w:t>
      </w:r>
      <w:r w:rsidR="00F6792F" w:rsidRPr="004D70A7">
        <w:rPr>
          <w:b/>
          <w:sz w:val="28"/>
        </w:rPr>
        <w:t xml:space="preserve"> </w:t>
      </w:r>
      <w:r w:rsidRPr="004D70A7">
        <w:rPr>
          <w:b/>
          <w:sz w:val="28"/>
        </w:rPr>
        <w:t xml:space="preserve">- PROGRAMSKO FINANCIRANJE </w:t>
      </w:r>
      <w:r w:rsidR="0039145C" w:rsidRPr="004D70A7">
        <w:rPr>
          <w:b/>
          <w:sz w:val="28"/>
        </w:rPr>
        <w:t>JAVNIH ZNANSTVENIH INSTITUTA-</w:t>
      </w:r>
      <w:r w:rsidR="00DC2C27" w:rsidRPr="004D70A7">
        <w:rPr>
          <w:b/>
          <w:sz w:val="28"/>
        </w:rPr>
        <w:t xml:space="preserve"> RAZVOJ ODRŽIVOG, INOVATIVNOG I OTPORNOG TURIZMA (C16 R1)-NPOO</w:t>
      </w:r>
    </w:p>
    <w:p w14:paraId="4A26987A" w14:textId="77777777" w:rsidR="00890A31" w:rsidRPr="004D70A7" w:rsidRDefault="00890A31" w:rsidP="00890A31">
      <w:pPr>
        <w:spacing w:after="0"/>
        <w:jc w:val="both"/>
        <w:rPr>
          <w:rFonts w:cstheme="minorHAnsi"/>
          <w:iCs/>
        </w:rPr>
      </w:pPr>
      <w:r w:rsidRPr="004D70A7">
        <w:rPr>
          <w:rFonts w:cstheme="minorHAnsi"/>
          <w:iCs/>
        </w:rPr>
        <w:t>Zakonske i druge pravne osnove:</w:t>
      </w:r>
    </w:p>
    <w:p w14:paraId="45B45118" w14:textId="2C3394DA" w:rsidR="00890A31" w:rsidRPr="004D70A7" w:rsidRDefault="00890A31" w:rsidP="00890A31">
      <w:pPr>
        <w:pStyle w:val="ListParagraph"/>
        <w:numPr>
          <w:ilvl w:val="0"/>
          <w:numId w:val="27"/>
        </w:numPr>
        <w:jc w:val="both"/>
        <w:rPr>
          <w:iCs/>
        </w:rPr>
      </w:pPr>
      <w:r w:rsidRPr="004D70A7">
        <w:rPr>
          <w:iCs/>
        </w:rPr>
        <w:t>Zakon o visokom obrazovanju</w:t>
      </w:r>
      <w:r w:rsidR="004D70A7" w:rsidRPr="004D70A7">
        <w:rPr>
          <w:iCs/>
        </w:rPr>
        <w:t xml:space="preserve"> i znanstvenoj djelatnosti</w:t>
      </w:r>
    </w:p>
    <w:p w14:paraId="3197D837" w14:textId="77777777" w:rsidR="00890A31" w:rsidRPr="004D70A7" w:rsidRDefault="00890A31" w:rsidP="00890A31">
      <w:pPr>
        <w:pStyle w:val="ListParagraph"/>
        <w:numPr>
          <w:ilvl w:val="0"/>
          <w:numId w:val="27"/>
        </w:numPr>
        <w:jc w:val="both"/>
        <w:rPr>
          <w:iCs/>
        </w:rPr>
      </w:pPr>
      <w:r w:rsidRPr="004D70A7">
        <w:rPr>
          <w:iCs/>
        </w:rPr>
        <w:t>Zakon o radu</w:t>
      </w:r>
    </w:p>
    <w:p w14:paraId="294E8F4C" w14:textId="5B0F1CE8" w:rsidR="00890A31" w:rsidRPr="004D70A7" w:rsidRDefault="00890A31" w:rsidP="00890A31">
      <w:pPr>
        <w:pStyle w:val="ListParagraph"/>
        <w:numPr>
          <w:ilvl w:val="0"/>
          <w:numId w:val="27"/>
        </w:numPr>
        <w:jc w:val="both"/>
        <w:rPr>
          <w:iCs/>
        </w:rPr>
      </w:pPr>
      <w:r w:rsidRPr="004D70A7">
        <w:rPr>
          <w:iCs/>
        </w:rPr>
        <w:t xml:space="preserve">Zakon o plaćama u </w:t>
      </w:r>
      <w:r w:rsidR="004D70A7" w:rsidRPr="004D70A7">
        <w:rPr>
          <w:iCs/>
        </w:rPr>
        <w:t xml:space="preserve">državnoj i javnim </w:t>
      </w:r>
      <w:r w:rsidRPr="004D70A7">
        <w:rPr>
          <w:iCs/>
        </w:rPr>
        <w:t>službama</w:t>
      </w:r>
    </w:p>
    <w:p w14:paraId="45DC1DDE" w14:textId="77777777" w:rsidR="00890A31" w:rsidRPr="004D70A7" w:rsidRDefault="00890A31" w:rsidP="00890A31">
      <w:pPr>
        <w:pStyle w:val="ListParagraph"/>
        <w:numPr>
          <w:ilvl w:val="0"/>
          <w:numId w:val="27"/>
        </w:numPr>
        <w:jc w:val="both"/>
        <w:rPr>
          <w:iCs/>
        </w:rPr>
      </w:pPr>
      <w:r w:rsidRPr="004D70A7">
        <w:rPr>
          <w:iCs/>
        </w:rPr>
        <w:t>Zakon o javnoj nabavi</w:t>
      </w:r>
    </w:p>
    <w:p w14:paraId="28729D86" w14:textId="77777777" w:rsidR="00890A31" w:rsidRPr="004D70A7" w:rsidRDefault="00890A31" w:rsidP="00890A31">
      <w:pPr>
        <w:pStyle w:val="ListParagraph"/>
        <w:numPr>
          <w:ilvl w:val="0"/>
          <w:numId w:val="27"/>
        </w:numPr>
        <w:jc w:val="both"/>
        <w:rPr>
          <w:iCs/>
        </w:rPr>
      </w:pPr>
      <w:r w:rsidRPr="004D70A7">
        <w:rPr>
          <w:iCs/>
        </w:rPr>
        <w:t>Zakon o provedbi Opće uredbe o zaštiti podataka</w:t>
      </w:r>
    </w:p>
    <w:p w14:paraId="5011E948" w14:textId="77777777" w:rsidR="00890A31" w:rsidRPr="004D70A7" w:rsidRDefault="00890A31" w:rsidP="00890A31">
      <w:pPr>
        <w:pStyle w:val="ListParagraph"/>
        <w:numPr>
          <w:ilvl w:val="0"/>
          <w:numId w:val="27"/>
        </w:numPr>
        <w:jc w:val="both"/>
        <w:rPr>
          <w:iCs/>
        </w:rPr>
      </w:pPr>
      <w:r w:rsidRPr="004D70A7">
        <w:rPr>
          <w:iCs/>
        </w:rPr>
        <w:t>Temeljni kolektivni ugovor za službenike i namještenike u javnim službama</w:t>
      </w:r>
    </w:p>
    <w:p w14:paraId="5A2F538F" w14:textId="72CEE5FA" w:rsidR="00890A31" w:rsidRPr="004D70A7" w:rsidRDefault="00890A31" w:rsidP="00890A31">
      <w:pPr>
        <w:pStyle w:val="ListParagraph"/>
        <w:numPr>
          <w:ilvl w:val="0"/>
          <w:numId w:val="27"/>
        </w:numPr>
        <w:rPr>
          <w:iCs/>
        </w:rPr>
      </w:pPr>
      <w:r w:rsidRPr="004D70A7">
        <w:rPr>
          <w:iCs/>
        </w:rPr>
        <w:t>Uredba o nazivima radnih mjesta</w:t>
      </w:r>
      <w:r w:rsidR="004D70A7" w:rsidRPr="004D70A7">
        <w:rPr>
          <w:iCs/>
        </w:rPr>
        <w:t>, uvjetima za raspored i koeficijentima za obračun plaće u javnim službama</w:t>
      </w:r>
      <w:r w:rsidRPr="004D70A7">
        <w:rPr>
          <w:iCs/>
        </w:rPr>
        <w:t xml:space="preserve"> i koeficijentima složenosti poslova u javnim službama.</w:t>
      </w:r>
    </w:p>
    <w:p w14:paraId="5ECE5757" w14:textId="77777777" w:rsidR="00DC2C27" w:rsidRPr="00A77F08" w:rsidRDefault="00DC2C27" w:rsidP="00A77F08">
      <w:pPr>
        <w:jc w:val="both"/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5"/>
        <w:gridCol w:w="1412"/>
        <w:gridCol w:w="1412"/>
        <w:gridCol w:w="1412"/>
        <w:gridCol w:w="1412"/>
        <w:gridCol w:w="1399"/>
      </w:tblGrid>
      <w:tr w:rsidR="002246B7" w:rsidRPr="009D005B" w14:paraId="71307B02" w14:textId="77777777" w:rsidTr="002246B7">
        <w:tc>
          <w:tcPr>
            <w:tcW w:w="1111" w:type="pct"/>
            <w:shd w:val="clear" w:color="auto" w:fill="D0CECE" w:themeFill="background2" w:themeFillShade="E6"/>
          </w:tcPr>
          <w:p w14:paraId="7DD220B8" w14:textId="26017419" w:rsidR="002246B7" w:rsidRPr="009D005B" w:rsidRDefault="002246B7" w:rsidP="002246B7">
            <w:pPr>
              <w:jc w:val="both"/>
            </w:pPr>
            <w:r>
              <w:t xml:space="preserve">IZVOR 581 </w:t>
            </w:r>
          </w:p>
        </w:tc>
        <w:tc>
          <w:tcPr>
            <w:tcW w:w="779" w:type="pct"/>
            <w:shd w:val="clear" w:color="auto" w:fill="D0CECE" w:themeFill="background2" w:themeFillShade="E6"/>
            <w:vAlign w:val="center"/>
          </w:tcPr>
          <w:p w14:paraId="4AC5FEB2" w14:textId="56D28104" w:rsidR="002246B7" w:rsidRPr="009D005B" w:rsidRDefault="00D32B08" w:rsidP="002C5026">
            <w:pPr>
              <w:jc w:val="center"/>
            </w:pPr>
            <w:r>
              <w:t>IZVRŠENJE</w:t>
            </w:r>
            <w:r w:rsidR="002246B7" w:rsidRPr="009D005B">
              <w:t xml:space="preserve"> 20</w:t>
            </w:r>
            <w:r w:rsidR="002246B7">
              <w:t>23</w:t>
            </w:r>
            <w:r w:rsidR="002246B7" w:rsidRPr="009D005B">
              <w:t>.</w:t>
            </w:r>
          </w:p>
        </w:tc>
        <w:tc>
          <w:tcPr>
            <w:tcW w:w="779" w:type="pct"/>
            <w:shd w:val="clear" w:color="auto" w:fill="D0CECE" w:themeFill="background2" w:themeFillShade="E6"/>
            <w:vAlign w:val="center"/>
          </w:tcPr>
          <w:p w14:paraId="28C8C1F1" w14:textId="7C1AFDD2" w:rsidR="002246B7" w:rsidRPr="009D005B" w:rsidRDefault="004F35F0" w:rsidP="002C5026">
            <w:pPr>
              <w:jc w:val="center"/>
            </w:pPr>
            <w:r>
              <w:t>PLAN</w:t>
            </w:r>
            <w:r w:rsidR="002246B7" w:rsidRPr="009D005B">
              <w:t xml:space="preserve"> </w:t>
            </w:r>
            <w:r w:rsidR="002246B7">
              <w:t>202</w:t>
            </w:r>
            <w:r w:rsidR="00D32B08">
              <w:t>4</w:t>
            </w:r>
            <w:r w:rsidR="002246B7">
              <w:t>.</w:t>
            </w:r>
          </w:p>
        </w:tc>
        <w:tc>
          <w:tcPr>
            <w:tcW w:w="779" w:type="pct"/>
            <w:shd w:val="clear" w:color="auto" w:fill="D0CECE" w:themeFill="background2" w:themeFillShade="E6"/>
            <w:vAlign w:val="center"/>
          </w:tcPr>
          <w:p w14:paraId="38C5003C" w14:textId="36BC5782" w:rsidR="002246B7" w:rsidRPr="009D005B" w:rsidRDefault="004F35F0" w:rsidP="002C5026">
            <w:pPr>
              <w:jc w:val="center"/>
            </w:pPr>
            <w:r>
              <w:t>PLAN</w:t>
            </w:r>
            <w:r w:rsidR="002246B7" w:rsidRPr="009D005B">
              <w:t xml:space="preserve"> </w:t>
            </w:r>
            <w:r w:rsidR="002246B7">
              <w:t>2025.</w:t>
            </w:r>
          </w:p>
        </w:tc>
        <w:tc>
          <w:tcPr>
            <w:tcW w:w="779" w:type="pct"/>
            <w:shd w:val="clear" w:color="auto" w:fill="D0CECE" w:themeFill="background2" w:themeFillShade="E6"/>
            <w:vAlign w:val="center"/>
          </w:tcPr>
          <w:p w14:paraId="78A6D4C9" w14:textId="039DC9C1" w:rsidR="002246B7" w:rsidRPr="009D005B" w:rsidRDefault="004F35F0" w:rsidP="002C5026">
            <w:pPr>
              <w:jc w:val="center"/>
            </w:pPr>
            <w:r>
              <w:t>PLAN</w:t>
            </w:r>
            <w:r w:rsidR="002246B7" w:rsidRPr="009D005B">
              <w:t xml:space="preserve"> </w:t>
            </w:r>
            <w:r w:rsidR="002246B7">
              <w:t>2026.</w:t>
            </w:r>
          </w:p>
        </w:tc>
        <w:tc>
          <w:tcPr>
            <w:tcW w:w="772" w:type="pct"/>
            <w:shd w:val="clear" w:color="auto" w:fill="D0CECE" w:themeFill="background2" w:themeFillShade="E6"/>
            <w:vAlign w:val="center"/>
          </w:tcPr>
          <w:p w14:paraId="333E1ECD" w14:textId="60C0DC4E" w:rsidR="002246B7" w:rsidRPr="009D005B" w:rsidRDefault="002246B7" w:rsidP="002C5026">
            <w:pPr>
              <w:jc w:val="center"/>
            </w:pPr>
          </w:p>
        </w:tc>
      </w:tr>
      <w:tr w:rsidR="002246B7" w:rsidRPr="009D005B" w14:paraId="00432437" w14:textId="77777777" w:rsidTr="002246B7">
        <w:tc>
          <w:tcPr>
            <w:tcW w:w="1111" w:type="pct"/>
          </w:tcPr>
          <w:p w14:paraId="534CF7E6" w14:textId="675512C5" w:rsidR="002246B7" w:rsidRPr="009D005B" w:rsidRDefault="002246B7" w:rsidP="002246B7">
            <w:r>
              <w:t>K6221</w:t>
            </w:r>
            <w:r w:rsidR="00F6792F">
              <w:t>52</w:t>
            </w:r>
            <w:r>
              <w:t>-NPOO</w:t>
            </w:r>
          </w:p>
        </w:tc>
        <w:tc>
          <w:tcPr>
            <w:tcW w:w="779" w:type="pct"/>
          </w:tcPr>
          <w:p w14:paraId="327A02AD" w14:textId="41A1E65A" w:rsidR="002246B7" w:rsidRPr="009D005B" w:rsidRDefault="00D32B08" w:rsidP="00CB3129">
            <w:pPr>
              <w:jc w:val="right"/>
            </w:pPr>
            <w:r w:rsidRPr="00D32B08">
              <w:t>104.940</w:t>
            </w:r>
            <w:r w:rsidR="000F30BE" w:rsidRPr="00D32B08">
              <w:t xml:space="preserve"> EUR</w:t>
            </w:r>
          </w:p>
        </w:tc>
        <w:tc>
          <w:tcPr>
            <w:tcW w:w="779" w:type="pct"/>
          </w:tcPr>
          <w:p w14:paraId="0DC56EDB" w14:textId="666FDE8E" w:rsidR="002246B7" w:rsidRPr="009D005B" w:rsidRDefault="00A337C2" w:rsidP="00CB3129">
            <w:pPr>
              <w:jc w:val="right"/>
            </w:pPr>
            <w:r>
              <w:t>140.433</w:t>
            </w:r>
            <w:r w:rsidR="000F30BE">
              <w:t xml:space="preserve"> EUR</w:t>
            </w:r>
          </w:p>
        </w:tc>
        <w:tc>
          <w:tcPr>
            <w:tcW w:w="779" w:type="pct"/>
          </w:tcPr>
          <w:p w14:paraId="63C21515" w14:textId="31168B45" w:rsidR="002246B7" w:rsidRPr="009D005B" w:rsidRDefault="0025371F" w:rsidP="00CB3129">
            <w:pPr>
              <w:jc w:val="right"/>
            </w:pPr>
            <w:r>
              <w:t>173.176</w:t>
            </w:r>
            <w:r w:rsidR="000F30BE">
              <w:t xml:space="preserve"> EUR</w:t>
            </w:r>
          </w:p>
        </w:tc>
        <w:tc>
          <w:tcPr>
            <w:tcW w:w="779" w:type="pct"/>
          </w:tcPr>
          <w:p w14:paraId="27AFAEC8" w14:textId="1FC77235" w:rsidR="002246B7" w:rsidRPr="009D005B" w:rsidRDefault="0025371F" w:rsidP="00CB3129">
            <w:pPr>
              <w:jc w:val="right"/>
            </w:pPr>
            <w:r>
              <w:t>152.023</w:t>
            </w:r>
            <w:r w:rsidR="000F30BE">
              <w:t xml:space="preserve"> EUR</w:t>
            </w:r>
          </w:p>
        </w:tc>
        <w:tc>
          <w:tcPr>
            <w:tcW w:w="772" w:type="pct"/>
          </w:tcPr>
          <w:p w14:paraId="19D0F491" w14:textId="61D09891" w:rsidR="002246B7" w:rsidRPr="009D005B" w:rsidRDefault="002246B7" w:rsidP="00CB3129">
            <w:pPr>
              <w:jc w:val="right"/>
            </w:pPr>
          </w:p>
        </w:tc>
      </w:tr>
    </w:tbl>
    <w:p w14:paraId="057CF95B" w14:textId="77777777" w:rsidR="00890A31" w:rsidRDefault="00890A31" w:rsidP="00CB3129">
      <w:pPr>
        <w:jc w:val="both"/>
        <w:rPr>
          <w:rFonts w:cstheme="minorHAnsi"/>
          <w:iCs/>
        </w:rPr>
      </w:pPr>
    </w:p>
    <w:p w14:paraId="6816F45B" w14:textId="088C9623" w:rsidR="00DC2C27" w:rsidRDefault="00DC2C27" w:rsidP="00CB3129">
      <w:pPr>
        <w:jc w:val="both"/>
        <w:rPr>
          <w:rFonts w:cstheme="minorHAnsi"/>
          <w:iCs/>
        </w:rPr>
      </w:pPr>
      <w:r w:rsidRPr="00B96E0C">
        <w:rPr>
          <w:rFonts w:cstheme="minorHAnsi"/>
          <w:iCs/>
        </w:rPr>
        <w:t xml:space="preserve">Tripartitni Sporazum </w:t>
      </w:r>
      <w:bookmarkStart w:id="2" w:name="_Hlk95384153"/>
      <w:r w:rsidRPr="00B96E0C">
        <w:rPr>
          <w:rFonts w:cstheme="minorHAnsi"/>
          <w:iCs/>
        </w:rPr>
        <w:t>o partnerstvu u provedbi aktivnosti Uspostavljanje sustava satelitskih računa održivog turizma Republike Hrvatske u okviru reforme predviđene Nacionalnim planom oporavka i otpornosti zaključen je između Ministarstva turizma i sporta, Ministarstva znanosti i obrazovanja kao Nositelja provedbe</w:t>
      </w:r>
      <w:r w:rsidR="00890A31">
        <w:rPr>
          <w:rFonts w:cstheme="minorHAnsi"/>
          <w:iCs/>
        </w:rPr>
        <w:t>,</w:t>
      </w:r>
      <w:r w:rsidRPr="00B96E0C">
        <w:rPr>
          <w:rFonts w:cstheme="minorHAnsi"/>
          <w:iCs/>
        </w:rPr>
        <w:t xml:space="preserve"> te Instituta za turizam kao Partnera. </w:t>
      </w:r>
    </w:p>
    <w:p w14:paraId="638F76F5" w14:textId="2D77257E" w:rsidR="00CB3129" w:rsidRPr="00CB3129" w:rsidRDefault="00CB3129" w:rsidP="00CB3129">
      <w:pPr>
        <w:jc w:val="both"/>
        <w:rPr>
          <w:rFonts w:cstheme="minorHAnsi"/>
          <w:iCs/>
        </w:rPr>
      </w:pPr>
      <w:r w:rsidRPr="00CB3129">
        <w:rPr>
          <w:rFonts w:cstheme="minorHAnsi"/>
          <w:iCs/>
        </w:rPr>
        <w:t xml:space="preserve">Temeljem </w:t>
      </w:r>
      <w:r>
        <w:rPr>
          <w:rFonts w:cstheme="minorHAnsi"/>
          <w:iCs/>
        </w:rPr>
        <w:t xml:space="preserve">ovoga </w:t>
      </w:r>
      <w:r w:rsidRPr="00CB3129">
        <w:rPr>
          <w:rFonts w:cstheme="minorHAnsi"/>
          <w:iCs/>
        </w:rPr>
        <w:t>Sporazuma, Institut za turizam sudjeluje u dijelu</w:t>
      </w:r>
      <w:r>
        <w:rPr>
          <w:rFonts w:cstheme="minorHAnsi"/>
          <w:iCs/>
        </w:rPr>
        <w:t xml:space="preserve"> projekta</w:t>
      </w:r>
      <w:r w:rsidRPr="00CB3129">
        <w:rPr>
          <w:rFonts w:cstheme="minorHAnsi"/>
          <w:iCs/>
        </w:rPr>
        <w:t xml:space="preserve"> koji se odnosi na mapiranje, izradu i uspostavu Sustava satelitskih računa održivog turizma Republike Hrvatske (u daljnjem tekstu: Sustav), te izradu znanstvenih podloga i analiza koje će postati alat za upravljanje javnim politikama.</w:t>
      </w:r>
    </w:p>
    <w:p w14:paraId="58DBE63F" w14:textId="5028E03F" w:rsidR="00CB3129" w:rsidRPr="00B96E0C" w:rsidRDefault="00CB3129" w:rsidP="00CB3129">
      <w:pPr>
        <w:jc w:val="both"/>
        <w:rPr>
          <w:rFonts w:cstheme="minorHAnsi"/>
          <w:iCs/>
        </w:rPr>
      </w:pPr>
      <w:r w:rsidRPr="00CB3129">
        <w:rPr>
          <w:rFonts w:cstheme="minorHAnsi"/>
          <w:iCs/>
        </w:rPr>
        <w:t xml:space="preserve">Sustav se sastoji od Satelitskog računa održivog turizma Republike Hrvatske na NUTS 1, HR0 razini (SAT-ROT RH) te Regionalnih satelitskih računa održivosti turizma na NUTS 2 razinama (HR02, HR03, HR05 i HR06) s naglaskom na regiju Jadranske Hrvatske (NUTS-2, HR03) za koju se satelitski računi izrađuju na razini NUTS-3 regija, te definiranih indikatora održivog turizma za odabrane destinacije (SAT-ROT REG). </w:t>
      </w:r>
      <w:r w:rsidRPr="00CB3129">
        <w:rPr>
          <w:rFonts w:cstheme="minorHAnsi"/>
          <w:iCs/>
        </w:rPr>
        <w:lastRenderedPageBreak/>
        <w:t>Sustav mora biti utemeljen na relevantnim i dostupnim podacima održivosti turizma, mora odgovoriti na potrebe definirane NPOO-om u pogledu kreiranja strateško-planskih dokumenata i budućeg Zakona u turizmu te mora biti harmoniziran s nacionalnim i međunarodnim metodološkim okvirom.</w:t>
      </w:r>
    </w:p>
    <w:p w14:paraId="0553EFB9" w14:textId="6A23523E" w:rsidR="00DC2C27" w:rsidRDefault="00DC2C27" w:rsidP="00DC2C27">
      <w:pPr>
        <w:rPr>
          <w:rFonts w:cstheme="minorHAnsi"/>
          <w:iCs/>
        </w:rPr>
      </w:pPr>
      <w:r w:rsidRPr="00B96E0C">
        <w:rPr>
          <w:rFonts w:cstheme="minorHAnsi"/>
          <w:iCs/>
        </w:rPr>
        <w:t>Sporazum je sklopljen na razdoblje od 52 mjeseca.</w:t>
      </w:r>
    </w:p>
    <w:p w14:paraId="59EF25E4" w14:textId="77777777" w:rsidR="00CB3129" w:rsidRDefault="00CB3129" w:rsidP="00DC2C27">
      <w:pPr>
        <w:rPr>
          <w:rFonts w:cstheme="minorHAnsi"/>
          <w:iCs/>
        </w:rPr>
      </w:pPr>
    </w:p>
    <w:p w14:paraId="046B8793" w14:textId="0AC58547" w:rsidR="00890A31" w:rsidRPr="00B96E0C" w:rsidRDefault="00890A31" w:rsidP="00DC2C27">
      <w:pPr>
        <w:rPr>
          <w:rFonts w:cstheme="minorHAnsi"/>
          <w:iCs/>
        </w:rPr>
      </w:pPr>
      <w:r w:rsidRPr="004F35F0">
        <w:rPr>
          <w:rFonts w:cstheme="minorHAnsi"/>
          <w:iCs/>
        </w:rPr>
        <w:t>Planirani rashodi su sljedeći:</w:t>
      </w:r>
    </w:p>
    <w:p w14:paraId="53FFFDDE" w14:textId="24A49FBD" w:rsidR="00344B72" w:rsidRPr="00890A31" w:rsidRDefault="00344B72" w:rsidP="00975DAF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iCs/>
        </w:rPr>
      </w:pPr>
      <w:r w:rsidRPr="00890A31">
        <w:rPr>
          <w:rFonts w:cstheme="minorHAnsi"/>
          <w:b/>
          <w:bCs/>
          <w:iCs/>
        </w:rPr>
        <w:t xml:space="preserve">Rashodi za zaposlene </w:t>
      </w:r>
    </w:p>
    <w:p w14:paraId="0DC88197" w14:textId="51CBD39E" w:rsidR="00FA4999" w:rsidRPr="00B96E0C" w:rsidRDefault="00FA4999" w:rsidP="00975DAF">
      <w:pPr>
        <w:ind w:left="360"/>
        <w:jc w:val="both"/>
        <w:rPr>
          <w:rFonts w:cstheme="minorHAnsi"/>
          <w:iCs/>
        </w:rPr>
      </w:pPr>
      <w:r w:rsidRPr="00B96E0C">
        <w:rPr>
          <w:rFonts w:cstheme="minorHAnsi"/>
          <w:iCs/>
        </w:rPr>
        <w:t>Planirani</w:t>
      </w:r>
      <w:r w:rsidR="00C50211" w:rsidRPr="00B96E0C">
        <w:rPr>
          <w:rFonts w:cstheme="minorHAnsi"/>
          <w:iCs/>
        </w:rPr>
        <w:t xml:space="preserve"> prosječni</w:t>
      </w:r>
      <w:r w:rsidRPr="00B96E0C">
        <w:rPr>
          <w:rFonts w:cstheme="minorHAnsi"/>
          <w:iCs/>
        </w:rPr>
        <w:t xml:space="preserve"> broj zaposlenik u 2024 g. 18 x iznos prosječne vrijednosti prekovremenih sati temeljem Kolektivnog ugovora za znanost i visoko obrazovanje = </w:t>
      </w:r>
      <w:r w:rsidR="006429FB" w:rsidRPr="00B96E0C">
        <w:rPr>
          <w:rFonts w:cstheme="minorHAnsi"/>
          <w:iCs/>
        </w:rPr>
        <w:t>73.960</w:t>
      </w:r>
      <w:r w:rsidRPr="00B96E0C">
        <w:rPr>
          <w:rFonts w:cstheme="minorHAnsi"/>
          <w:iCs/>
        </w:rPr>
        <w:t xml:space="preserve"> EUR.</w:t>
      </w:r>
    </w:p>
    <w:p w14:paraId="0D496C52" w14:textId="07BF3D72" w:rsidR="00FA4999" w:rsidRPr="00B96E0C" w:rsidRDefault="00FA4999" w:rsidP="00975DAF">
      <w:pPr>
        <w:ind w:left="360"/>
        <w:jc w:val="both"/>
        <w:rPr>
          <w:rFonts w:cstheme="minorHAnsi"/>
          <w:iCs/>
        </w:rPr>
      </w:pPr>
      <w:r w:rsidRPr="00B96E0C">
        <w:rPr>
          <w:rFonts w:cstheme="minorHAnsi"/>
          <w:iCs/>
        </w:rPr>
        <w:t>Planirani</w:t>
      </w:r>
      <w:r w:rsidR="00C50211" w:rsidRPr="00B96E0C">
        <w:rPr>
          <w:rFonts w:cstheme="minorHAnsi"/>
          <w:iCs/>
        </w:rPr>
        <w:t xml:space="preserve"> prosječni</w:t>
      </w:r>
      <w:r w:rsidRPr="00B96E0C">
        <w:rPr>
          <w:rFonts w:cstheme="minorHAnsi"/>
          <w:iCs/>
        </w:rPr>
        <w:t xml:space="preserve"> broj zaposlenik u 2025 g. 18 x iznos prosječne vrijednosti prekovremenih sati temeljem Kolektivnog ugovora za znanost i visoko obrazovanje = 100.933 EUR.</w:t>
      </w:r>
    </w:p>
    <w:p w14:paraId="70D45D51" w14:textId="3ECCC611" w:rsidR="006429FB" w:rsidRPr="00B96E0C" w:rsidRDefault="006429FB" w:rsidP="00975DAF">
      <w:pPr>
        <w:ind w:left="360"/>
        <w:jc w:val="both"/>
        <w:rPr>
          <w:rFonts w:cstheme="minorHAnsi"/>
          <w:iCs/>
        </w:rPr>
      </w:pPr>
      <w:r w:rsidRPr="00B96E0C">
        <w:rPr>
          <w:rFonts w:cstheme="minorHAnsi"/>
          <w:iCs/>
        </w:rPr>
        <w:t>Planirani prosječni broj zaposlenika u 2026.g.18 x iznos prosječne vrijednosti prekovremenih sati temeljem Kolektivnog ugovora za znanost i visoko obrazovanje = 74.587 EUR</w:t>
      </w:r>
      <w:r w:rsidR="00975DAF">
        <w:rPr>
          <w:rFonts w:cstheme="minorHAnsi"/>
          <w:iCs/>
        </w:rPr>
        <w:t>.</w:t>
      </w:r>
    </w:p>
    <w:p w14:paraId="2DFA33C6" w14:textId="77777777" w:rsidR="00890A31" w:rsidRDefault="00FA4999" w:rsidP="00975DAF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iCs/>
        </w:rPr>
      </w:pPr>
      <w:r w:rsidRPr="00890A31">
        <w:rPr>
          <w:rFonts w:cstheme="minorHAnsi"/>
          <w:b/>
          <w:bCs/>
          <w:iCs/>
        </w:rPr>
        <w:t>Materijalni rashodi</w:t>
      </w:r>
    </w:p>
    <w:p w14:paraId="06EBBBCE" w14:textId="5CB3AE48" w:rsidR="00344B72" w:rsidRPr="00890A31" w:rsidRDefault="00FA4999" w:rsidP="00890A31">
      <w:pPr>
        <w:pStyle w:val="ListParagraph"/>
        <w:ind w:left="360"/>
        <w:jc w:val="both"/>
        <w:rPr>
          <w:rFonts w:cstheme="minorHAnsi"/>
          <w:b/>
          <w:bCs/>
          <w:iCs/>
        </w:rPr>
      </w:pPr>
      <w:r w:rsidRPr="00890A31">
        <w:rPr>
          <w:rFonts w:cstheme="minorHAnsi"/>
          <w:iCs/>
        </w:rPr>
        <w:t xml:space="preserve">Materijalni rashodi planirani su u visini </w:t>
      </w:r>
      <w:r w:rsidR="00D860D8" w:rsidRPr="00890A31">
        <w:rPr>
          <w:rFonts w:cstheme="minorHAnsi"/>
          <w:iCs/>
        </w:rPr>
        <w:t xml:space="preserve"> </w:t>
      </w:r>
      <w:r w:rsidR="00816420">
        <w:rPr>
          <w:rFonts w:cstheme="minorHAnsi"/>
          <w:iCs/>
        </w:rPr>
        <w:t>66.473</w:t>
      </w:r>
      <w:r w:rsidR="00D860D8" w:rsidRPr="00890A31">
        <w:rPr>
          <w:rFonts w:cstheme="minorHAnsi"/>
          <w:iCs/>
        </w:rPr>
        <w:t xml:space="preserve"> EUR-a u 2024.g.</w:t>
      </w:r>
      <w:r w:rsidR="006429FB" w:rsidRPr="00890A31">
        <w:rPr>
          <w:rFonts w:cstheme="minorHAnsi"/>
          <w:iCs/>
        </w:rPr>
        <w:t>;</w:t>
      </w:r>
      <w:r w:rsidR="00D860D8" w:rsidRPr="00890A31">
        <w:rPr>
          <w:rFonts w:cstheme="minorHAnsi"/>
          <w:iCs/>
        </w:rPr>
        <w:t xml:space="preserve"> </w:t>
      </w:r>
      <w:r w:rsidR="00082AB6">
        <w:rPr>
          <w:rFonts w:cstheme="minorHAnsi"/>
          <w:iCs/>
        </w:rPr>
        <w:t>72.243</w:t>
      </w:r>
      <w:r w:rsidR="00D860D8" w:rsidRPr="00890A31">
        <w:rPr>
          <w:rFonts w:cstheme="minorHAnsi"/>
          <w:iCs/>
        </w:rPr>
        <w:t xml:space="preserve"> EUR-a u 2025. godini</w:t>
      </w:r>
      <w:r w:rsidR="006429FB" w:rsidRPr="00890A31">
        <w:rPr>
          <w:rFonts w:cstheme="minorHAnsi"/>
          <w:iCs/>
        </w:rPr>
        <w:t xml:space="preserve"> ; i u 2026.</w:t>
      </w:r>
      <w:r w:rsidR="00082AB6">
        <w:rPr>
          <w:rFonts w:cstheme="minorHAnsi"/>
          <w:iCs/>
        </w:rPr>
        <w:t xml:space="preserve"> godini</w:t>
      </w:r>
      <w:r w:rsidR="006429FB" w:rsidRPr="00890A31">
        <w:rPr>
          <w:rFonts w:cstheme="minorHAnsi"/>
          <w:iCs/>
        </w:rPr>
        <w:t xml:space="preserve"> </w:t>
      </w:r>
      <w:r w:rsidR="00082AB6">
        <w:rPr>
          <w:rFonts w:cstheme="minorHAnsi"/>
          <w:iCs/>
        </w:rPr>
        <w:t>77.436</w:t>
      </w:r>
      <w:r w:rsidR="006429FB" w:rsidRPr="00890A31">
        <w:rPr>
          <w:rFonts w:cstheme="minorHAnsi"/>
          <w:iCs/>
        </w:rPr>
        <w:t xml:space="preserve"> EUR-a</w:t>
      </w:r>
      <w:r w:rsidR="002246B7" w:rsidRPr="00890A31">
        <w:rPr>
          <w:rFonts w:cstheme="minorHAnsi"/>
          <w:iCs/>
        </w:rPr>
        <w:t>.</w:t>
      </w:r>
    </w:p>
    <w:bookmarkEnd w:id="2"/>
    <w:p w14:paraId="2861A128" w14:textId="77777777" w:rsidR="002246B7" w:rsidRDefault="002246B7" w:rsidP="0073077C">
      <w:pPr>
        <w:jc w:val="both"/>
      </w:pPr>
    </w:p>
    <w:p w14:paraId="14C0939B" w14:textId="77777777" w:rsidR="0004538A" w:rsidRDefault="0004538A" w:rsidP="0073077C">
      <w:pPr>
        <w:jc w:val="both"/>
      </w:pPr>
    </w:p>
    <w:p w14:paraId="6FDBA34D" w14:textId="77777777" w:rsidR="0004538A" w:rsidRDefault="0004538A" w:rsidP="0073077C">
      <w:pPr>
        <w:jc w:val="both"/>
      </w:pPr>
    </w:p>
    <w:p w14:paraId="71E17778" w14:textId="4CE28052" w:rsidR="0073077C" w:rsidRPr="0073077C" w:rsidRDefault="0073077C" w:rsidP="0073077C">
      <w:pPr>
        <w:jc w:val="both"/>
      </w:pPr>
      <w:r>
        <w:t>POKAZATELJ UČINKA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843"/>
        <w:gridCol w:w="1246"/>
        <w:gridCol w:w="1054"/>
        <w:gridCol w:w="1000"/>
        <w:gridCol w:w="1054"/>
        <w:gridCol w:w="1054"/>
        <w:gridCol w:w="1054"/>
      </w:tblGrid>
      <w:tr w:rsidR="0073077C" w:rsidRPr="006429FB" w14:paraId="4725A162" w14:textId="77777777" w:rsidTr="00E02110">
        <w:trPr>
          <w:trHeight w:val="675"/>
          <w:jc w:val="center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14:paraId="267F57E2" w14:textId="77777777" w:rsidR="0073077C" w:rsidRPr="00E02110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21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Pokazatelj učinka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5B4214" w14:textId="77777777" w:rsidR="0073077C" w:rsidRPr="00E02110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21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Definicija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02F653" w14:textId="77777777" w:rsidR="0073077C" w:rsidRPr="00E02110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21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Jedinica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22B087C6" w14:textId="5C2A7507" w:rsidR="0073077C" w:rsidRPr="00E02110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21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Polazna vrijednost</w:t>
            </w:r>
            <w:r w:rsidR="00571D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2023.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955848E" w14:textId="77777777" w:rsidR="0073077C" w:rsidRPr="00E02110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21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Izvor podataka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10CB1C52" w14:textId="12D9EF2C" w:rsidR="0073077C" w:rsidRPr="00E02110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21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Ciljana vrijednost </w:t>
            </w:r>
            <w:r w:rsidR="00571D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2024.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B0A3C5F" w14:textId="7F0C3854" w:rsidR="0073077C" w:rsidRPr="00E02110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21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Ciljana vrijednost </w:t>
            </w:r>
            <w:r w:rsidR="00571D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941" w:type="dxa"/>
            <w:vAlign w:val="center"/>
          </w:tcPr>
          <w:p w14:paraId="32BAE666" w14:textId="51202E8E" w:rsidR="0073077C" w:rsidRPr="00E02110" w:rsidRDefault="0073077C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21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Ciljana vrijednost 202</w:t>
            </w:r>
            <w:r w:rsidR="00571D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Pr="00E021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73077C" w:rsidRPr="00FE59E8" w14:paraId="7522C8B2" w14:textId="77777777" w:rsidTr="00E02110">
        <w:trPr>
          <w:trHeight w:val="495"/>
          <w:jc w:val="center"/>
        </w:trPr>
        <w:tc>
          <w:tcPr>
            <w:tcW w:w="1887" w:type="dxa"/>
            <w:shd w:val="clear" w:color="auto" w:fill="auto"/>
            <w:vAlign w:val="center"/>
            <w:hideMark/>
          </w:tcPr>
          <w:p w14:paraId="09AD0DA3" w14:textId="1D171DD5" w:rsidR="0073077C" w:rsidRPr="00E02110" w:rsidRDefault="0073077C" w:rsidP="00E02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1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Isporučeni dokumenti temeljem Sporazuma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F0E24F" w14:textId="3CD95533" w:rsidR="0073077C" w:rsidRPr="00E02110" w:rsidRDefault="0073077C" w:rsidP="00E02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1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Broj isporučenih dokumenata temeljem Sporazuma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57B747" w14:textId="3DBFFDA7" w:rsidR="0073077C" w:rsidRPr="00E02110" w:rsidRDefault="0073077C" w:rsidP="00E02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1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Broj</w:t>
            </w:r>
            <w:r w:rsidR="002246B7" w:rsidRPr="00E021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dokumenata</w:t>
            </w:r>
            <w:r w:rsidR="00E02110" w:rsidRPr="00E021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021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(godišnje)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B6CFEA4" w14:textId="0008AC05" w:rsidR="0073077C" w:rsidRPr="00E02110" w:rsidRDefault="00571D3D" w:rsidP="00E02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3F71881C" w14:textId="229D24EB" w:rsidR="0073077C" w:rsidRPr="00E02110" w:rsidRDefault="0073077C" w:rsidP="00E02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1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Institut</w:t>
            </w:r>
            <w:r w:rsidR="002246B7" w:rsidRPr="00E021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za turizam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106A5616" w14:textId="068641AF" w:rsidR="0073077C" w:rsidRPr="00E02110" w:rsidRDefault="00571D3D" w:rsidP="00E02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5F119E46" w14:textId="5D7315B4" w:rsidR="0073077C" w:rsidRPr="00E02110" w:rsidRDefault="0073077C" w:rsidP="00E02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1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vAlign w:val="center"/>
          </w:tcPr>
          <w:p w14:paraId="74AB9291" w14:textId="632EC7EE" w:rsidR="0073077C" w:rsidRPr="00E02110" w:rsidRDefault="0073077C" w:rsidP="00E02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1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14:paraId="350BF33E" w14:textId="77777777" w:rsidR="0073077C" w:rsidRDefault="0073077C" w:rsidP="006776BB">
      <w:pPr>
        <w:pStyle w:val="ListParagraph"/>
        <w:jc w:val="both"/>
        <w:rPr>
          <w:i/>
        </w:rPr>
      </w:pPr>
    </w:p>
    <w:p w14:paraId="540A51E2" w14:textId="77777777" w:rsidR="00CF626F" w:rsidRDefault="00CF626F" w:rsidP="006776BB">
      <w:pPr>
        <w:pStyle w:val="ListParagraph"/>
        <w:jc w:val="both"/>
        <w:rPr>
          <w:i/>
        </w:rPr>
      </w:pPr>
    </w:p>
    <w:p w14:paraId="7758F3C2" w14:textId="77777777" w:rsidR="00CF626F" w:rsidRDefault="00CF626F" w:rsidP="006776BB">
      <w:pPr>
        <w:pStyle w:val="ListParagraph"/>
        <w:jc w:val="both"/>
        <w:rPr>
          <w:i/>
        </w:rPr>
      </w:pPr>
    </w:p>
    <w:p w14:paraId="62D836B8" w14:textId="6731B370" w:rsidR="00CF626F" w:rsidRPr="00CF626F" w:rsidRDefault="00CF626F" w:rsidP="006776BB">
      <w:pPr>
        <w:pStyle w:val="ListParagraph"/>
        <w:jc w:val="both"/>
        <w:rPr>
          <w:iCs/>
        </w:rPr>
      </w:pPr>
      <w:r>
        <w:rPr>
          <w:iCs/>
        </w:rPr>
        <w:t>Zagreb, 17.12.2024.</w:t>
      </w:r>
    </w:p>
    <w:sectPr w:rsidR="00CF626F" w:rsidRPr="00CF626F" w:rsidSect="002526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51C99" w14:textId="77777777" w:rsidR="007A47A7" w:rsidRDefault="007A47A7">
      <w:pPr>
        <w:spacing w:after="0" w:line="240" w:lineRule="auto"/>
      </w:pPr>
      <w:r>
        <w:separator/>
      </w:r>
    </w:p>
  </w:endnote>
  <w:endnote w:type="continuationSeparator" w:id="0">
    <w:p w14:paraId="7D1E3262" w14:textId="77777777" w:rsidR="007A47A7" w:rsidRDefault="007A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5515545"/>
      <w:docPartObj>
        <w:docPartGallery w:val="Page Numbers (Bottom of Page)"/>
        <w:docPartUnique/>
      </w:docPartObj>
    </w:sdtPr>
    <w:sdtContent>
      <w:p w14:paraId="774F4882" w14:textId="77777777" w:rsidR="0050726D" w:rsidRDefault="0050726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2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79D8815" w14:textId="77777777" w:rsidR="0050726D" w:rsidRDefault="00507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F122C" w14:textId="77777777" w:rsidR="007A47A7" w:rsidRDefault="007A47A7">
      <w:pPr>
        <w:spacing w:after="0" w:line="240" w:lineRule="auto"/>
      </w:pPr>
      <w:r>
        <w:separator/>
      </w:r>
    </w:p>
  </w:footnote>
  <w:footnote w:type="continuationSeparator" w:id="0">
    <w:p w14:paraId="550573B3" w14:textId="77777777" w:rsidR="007A47A7" w:rsidRDefault="007A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04C2"/>
    <w:multiLevelType w:val="hybridMultilevel"/>
    <w:tmpl w:val="881646EC"/>
    <w:lvl w:ilvl="0" w:tplc="041A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0BB300D5"/>
    <w:multiLevelType w:val="hybridMultilevel"/>
    <w:tmpl w:val="89921AD6"/>
    <w:lvl w:ilvl="0" w:tplc="ED240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1AC1"/>
    <w:multiLevelType w:val="hybridMultilevel"/>
    <w:tmpl w:val="68C4A1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801F2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3AE7FF0"/>
    <w:multiLevelType w:val="hybridMultilevel"/>
    <w:tmpl w:val="03A2E0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654A1"/>
    <w:multiLevelType w:val="hybridMultilevel"/>
    <w:tmpl w:val="D79AE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7659B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17D3A"/>
    <w:multiLevelType w:val="hybridMultilevel"/>
    <w:tmpl w:val="625AB1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E42F6C"/>
    <w:multiLevelType w:val="hybridMultilevel"/>
    <w:tmpl w:val="F49466D6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E50E94"/>
    <w:multiLevelType w:val="hybridMultilevel"/>
    <w:tmpl w:val="3A10C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A519D"/>
    <w:multiLevelType w:val="hybridMultilevel"/>
    <w:tmpl w:val="769A9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B4FFA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10BA1"/>
    <w:multiLevelType w:val="hybridMultilevel"/>
    <w:tmpl w:val="E1ECA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038B7"/>
    <w:multiLevelType w:val="hybridMultilevel"/>
    <w:tmpl w:val="AB767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A2982"/>
    <w:multiLevelType w:val="hybridMultilevel"/>
    <w:tmpl w:val="D72EB230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33FCE"/>
    <w:multiLevelType w:val="hybridMultilevel"/>
    <w:tmpl w:val="29202FDE"/>
    <w:lvl w:ilvl="0" w:tplc="A9828B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CE750A"/>
    <w:multiLevelType w:val="hybridMultilevel"/>
    <w:tmpl w:val="FBE66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22EC0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01A5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EED4A24"/>
    <w:multiLevelType w:val="hybridMultilevel"/>
    <w:tmpl w:val="E0D4A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C0BFA">
      <w:numFmt w:val="bullet"/>
      <w:lvlText w:val="•"/>
      <w:lvlJc w:val="left"/>
      <w:pPr>
        <w:ind w:left="1785" w:hanging="705"/>
      </w:pPr>
      <w:rPr>
        <w:rFonts w:ascii="Arial" w:eastAsiaTheme="minorEastAsia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07E4"/>
    <w:multiLevelType w:val="multilevel"/>
    <w:tmpl w:val="52D2CB6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60"/>
      <w:numFmt w:val="decimalZero"/>
      <w:isLgl/>
      <w:lvlText w:val="%1.%2"/>
      <w:lvlJc w:val="left"/>
      <w:pPr>
        <w:ind w:left="1372" w:hanging="870"/>
      </w:pPr>
      <w:rPr>
        <w:rFonts w:hint="default"/>
      </w:rPr>
    </w:lvl>
    <w:lvl w:ilvl="2">
      <w:start w:val="533"/>
      <w:numFmt w:val="decimal"/>
      <w:isLgl/>
      <w:lvlText w:val="%1.%2.%3"/>
      <w:lvlJc w:val="left"/>
      <w:pPr>
        <w:ind w:left="1372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2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2" w:hanging="8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440"/>
      </w:pPr>
      <w:rPr>
        <w:rFonts w:hint="default"/>
      </w:rPr>
    </w:lvl>
  </w:abstractNum>
  <w:abstractNum w:abstractNumId="27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45BFA"/>
    <w:multiLevelType w:val="hybridMultilevel"/>
    <w:tmpl w:val="A21EE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824844">
    <w:abstractNumId w:val="17"/>
  </w:num>
  <w:num w:numId="2" w16cid:durableId="491415366">
    <w:abstractNumId w:val="27"/>
  </w:num>
  <w:num w:numId="3" w16cid:durableId="898397088">
    <w:abstractNumId w:val="5"/>
  </w:num>
  <w:num w:numId="4" w16cid:durableId="41757263">
    <w:abstractNumId w:val="22"/>
  </w:num>
  <w:num w:numId="5" w16cid:durableId="2146506191">
    <w:abstractNumId w:val="2"/>
  </w:num>
  <w:num w:numId="6" w16cid:durableId="1721127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1869145">
    <w:abstractNumId w:val="4"/>
  </w:num>
  <w:num w:numId="8" w16cid:durableId="1308241561">
    <w:abstractNumId w:val="3"/>
  </w:num>
  <w:num w:numId="9" w16cid:durableId="1492256498">
    <w:abstractNumId w:val="8"/>
  </w:num>
  <w:num w:numId="10" w16cid:durableId="1146508095">
    <w:abstractNumId w:val="9"/>
  </w:num>
  <w:num w:numId="11" w16cid:durableId="925765017">
    <w:abstractNumId w:val="1"/>
  </w:num>
  <w:num w:numId="12" w16cid:durableId="1591701021">
    <w:abstractNumId w:val="28"/>
  </w:num>
  <w:num w:numId="13" w16cid:durableId="263267714">
    <w:abstractNumId w:val="18"/>
  </w:num>
  <w:num w:numId="14" w16cid:durableId="1451244607">
    <w:abstractNumId w:val="12"/>
  </w:num>
  <w:num w:numId="15" w16cid:durableId="256988961">
    <w:abstractNumId w:val="20"/>
  </w:num>
  <w:num w:numId="16" w16cid:durableId="1439252582">
    <w:abstractNumId w:val="21"/>
  </w:num>
  <w:num w:numId="17" w16cid:durableId="1449423924">
    <w:abstractNumId w:val="16"/>
  </w:num>
  <w:num w:numId="18" w16cid:durableId="449396752">
    <w:abstractNumId w:val="14"/>
  </w:num>
  <w:num w:numId="19" w16cid:durableId="51931570">
    <w:abstractNumId w:val="6"/>
  </w:num>
  <w:num w:numId="20" w16cid:durableId="1917397796">
    <w:abstractNumId w:val="23"/>
  </w:num>
  <w:num w:numId="21" w16cid:durableId="604389177">
    <w:abstractNumId w:val="19"/>
  </w:num>
  <w:num w:numId="22" w16cid:durableId="1600985813">
    <w:abstractNumId w:val="11"/>
  </w:num>
  <w:num w:numId="23" w16cid:durableId="669988942">
    <w:abstractNumId w:val="0"/>
  </w:num>
  <w:num w:numId="24" w16cid:durableId="1239708842">
    <w:abstractNumId w:val="26"/>
  </w:num>
  <w:num w:numId="25" w16cid:durableId="211041039">
    <w:abstractNumId w:val="24"/>
  </w:num>
  <w:num w:numId="26" w16cid:durableId="266813147">
    <w:abstractNumId w:val="13"/>
  </w:num>
  <w:num w:numId="27" w16cid:durableId="964114412">
    <w:abstractNumId w:val="25"/>
  </w:num>
  <w:num w:numId="28" w16cid:durableId="2117020946">
    <w:abstractNumId w:val="15"/>
  </w:num>
  <w:num w:numId="29" w16cid:durableId="1750157002">
    <w:abstractNumId w:val="10"/>
  </w:num>
  <w:num w:numId="30" w16cid:durableId="1997802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2AB3"/>
    <w:rsid w:val="00002CFB"/>
    <w:rsid w:val="0002182A"/>
    <w:rsid w:val="000326B6"/>
    <w:rsid w:val="0004538A"/>
    <w:rsid w:val="000514DB"/>
    <w:rsid w:val="00066184"/>
    <w:rsid w:val="000720F7"/>
    <w:rsid w:val="00074D75"/>
    <w:rsid w:val="00075CF4"/>
    <w:rsid w:val="00082AB6"/>
    <w:rsid w:val="00087997"/>
    <w:rsid w:val="000B0394"/>
    <w:rsid w:val="000B455D"/>
    <w:rsid w:val="000D7807"/>
    <w:rsid w:val="000E3207"/>
    <w:rsid w:val="000E5511"/>
    <w:rsid w:val="000E7DCB"/>
    <w:rsid w:val="000F0A74"/>
    <w:rsid w:val="000F1057"/>
    <w:rsid w:val="000F30BE"/>
    <w:rsid w:val="00102DE9"/>
    <w:rsid w:val="00104D51"/>
    <w:rsid w:val="00105F31"/>
    <w:rsid w:val="0010612C"/>
    <w:rsid w:val="0011011A"/>
    <w:rsid w:val="0011367A"/>
    <w:rsid w:val="001243E6"/>
    <w:rsid w:val="0012719A"/>
    <w:rsid w:val="00127AA0"/>
    <w:rsid w:val="001374F6"/>
    <w:rsid w:val="00142E0D"/>
    <w:rsid w:val="0014465C"/>
    <w:rsid w:val="0015054B"/>
    <w:rsid w:val="001607C0"/>
    <w:rsid w:val="00160C89"/>
    <w:rsid w:val="00166458"/>
    <w:rsid w:val="001709A1"/>
    <w:rsid w:val="001976F8"/>
    <w:rsid w:val="001A0924"/>
    <w:rsid w:val="001C156C"/>
    <w:rsid w:val="001C4D41"/>
    <w:rsid w:val="001D353A"/>
    <w:rsid w:val="001E0FD7"/>
    <w:rsid w:val="001E3759"/>
    <w:rsid w:val="001E458F"/>
    <w:rsid w:val="00201B5B"/>
    <w:rsid w:val="0020627C"/>
    <w:rsid w:val="00220BF7"/>
    <w:rsid w:val="0022377B"/>
    <w:rsid w:val="002246B7"/>
    <w:rsid w:val="00252600"/>
    <w:rsid w:val="0025371F"/>
    <w:rsid w:val="00253DD8"/>
    <w:rsid w:val="002578EA"/>
    <w:rsid w:val="00261261"/>
    <w:rsid w:val="0026217C"/>
    <w:rsid w:val="002633B9"/>
    <w:rsid w:val="002878BD"/>
    <w:rsid w:val="0029099A"/>
    <w:rsid w:val="00292CC1"/>
    <w:rsid w:val="0029349D"/>
    <w:rsid w:val="002C1F90"/>
    <w:rsid w:val="002C3934"/>
    <w:rsid w:val="002D444E"/>
    <w:rsid w:val="002E0E39"/>
    <w:rsid w:val="002E6F1F"/>
    <w:rsid w:val="002F6E32"/>
    <w:rsid w:val="00307218"/>
    <w:rsid w:val="003215A3"/>
    <w:rsid w:val="00321FC7"/>
    <w:rsid w:val="00334061"/>
    <w:rsid w:val="00344B72"/>
    <w:rsid w:val="0035082A"/>
    <w:rsid w:val="003565C0"/>
    <w:rsid w:val="00362DAD"/>
    <w:rsid w:val="00363C36"/>
    <w:rsid w:val="00371CA9"/>
    <w:rsid w:val="0037309D"/>
    <w:rsid w:val="00382F49"/>
    <w:rsid w:val="00385C91"/>
    <w:rsid w:val="0039145C"/>
    <w:rsid w:val="003947A8"/>
    <w:rsid w:val="003B090E"/>
    <w:rsid w:val="00402231"/>
    <w:rsid w:val="0041630D"/>
    <w:rsid w:val="00416A16"/>
    <w:rsid w:val="00417B77"/>
    <w:rsid w:val="00422DFE"/>
    <w:rsid w:val="004279CB"/>
    <w:rsid w:val="004309AF"/>
    <w:rsid w:val="0044080F"/>
    <w:rsid w:val="00441D7F"/>
    <w:rsid w:val="0045558E"/>
    <w:rsid w:val="00457DD6"/>
    <w:rsid w:val="004632D5"/>
    <w:rsid w:val="004822F2"/>
    <w:rsid w:val="004827A5"/>
    <w:rsid w:val="004877B1"/>
    <w:rsid w:val="004923A4"/>
    <w:rsid w:val="004A0FDC"/>
    <w:rsid w:val="004A1334"/>
    <w:rsid w:val="004B19CE"/>
    <w:rsid w:val="004B215B"/>
    <w:rsid w:val="004C1E05"/>
    <w:rsid w:val="004C433E"/>
    <w:rsid w:val="004C69EB"/>
    <w:rsid w:val="004C6D51"/>
    <w:rsid w:val="004D388A"/>
    <w:rsid w:val="004D70A7"/>
    <w:rsid w:val="004F0F7E"/>
    <w:rsid w:val="004F35F0"/>
    <w:rsid w:val="004F6309"/>
    <w:rsid w:val="0050726D"/>
    <w:rsid w:val="00511FEF"/>
    <w:rsid w:val="00512AEF"/>
    <w:rsid w:val="00521831"/>
    <w:rsid w:val="0052648C"/>
    <w:rsid w:val="00543717"/>
    <w:rsid w:val="005438E6"/>
    <w:rsid w:val="0054566C"/>
    <w:rsid w:val="00551F58"/>
    <w:rsid w:val="00553C98"/>
    <w:rsid w:val="00571D3D"/>
    <w:rsid w:val="0057208C"/>
    <w:rsid w:val="005804D3"/>
    <w:rsid w:val="0058155A"/>
    <w:rsid w:val="005C2752"/>
    <w:rsid w:val="005D424F"/>
    <w:rsid w:val="005D780C"/>
    <w:rsid w:val="005D7888"/>
    <w:rsid w:val="005D7EDC"/>
    <w:rsid w:val="005E7F08"/>
    <w:rsid w:val="005F603F"/>
    <w:rsid w:val="00601574"/>
    <w:rsid w:val="006037A5"/>
    <w:rsid w:val="00604791"/>
    <w:rsid w:val="0060729D"/>
    <w:rsid w:val="00615C0B"/>
    <w:rsid w:val="00617D0F"/>
    <w:rsid w:val="0062546A"/>
    <w:rsid w:val="00630F6D"/>
    <w:rsid w:val="0063546E"/>
    <w:rsid w:val="006429FB"/>
    <w:rsid w:val="00642D7D"/>
    <w:rsid w:val="00650232"/>
    <w:rsid w:val="00653569"/>
    <w:rsid w:val="00657F14"/>
    <w:rsid w:val="006776BB"/>
    <w:rsid w:val="00692E04"/>
    <w:rsid w:val="006A1B9C"/>
    <w:rsid w:val="006B6038"/>
    <w:rsid w:val="006C1B88"/>
    <w:rsid w:val="006D1ED3"/>
    <w:rsid w:val="006F0626"/>
    <w:rsid w:val="006F1511"/>
    <w:rsid w:val="006F1534"/>
    <w:rsid w:val="006F6E44"/>
    <w:rsid w:val="00702B67"/>
    <w:rsid w:val="00703212"/>
    <w:rsid w:val="00705C76"/>
    <w:rsid w:val="00714667"/>
    <w:rsid w:val="007149F0"/>
    <w:rsid w:val="0073077C"/>
    <w:rsid w:val="00753C0E"/>
    <w:rsid w:val="00763769"/>
    <w:rsid w:val="007756EF"/>
    <w:rsid w:val="00780E26"/>
    <w:rsid w:val="007A335A"/>
    <w:rsid w:val="007A3F47"/>
    <w:rsid w:val="007A47A7"/>
    <w:rsid w:val="007C0F8D"/>
    <w:rsid w:val="007C3FE5"/>
    <w:rsid w:val="007C586D"/>
    <w:rsid w:val="007D59FC"/>
    <w:rsid w:val="007E080E"/>
    <w:rsid w:val="007E361B"/>
    <w:rsid w:val="007F0E3D"/>
    <w:rsid w:val="007F431E"/>
    <w:rsid w:val="007F726B"/>
    <w:rsid w:val="00802126"/>
    <w:rsid w:val="008053C1"/>
    <w:rsid w:val="00816420"/>
    <w:rsid w:val="00817C24"/>
    <w:rsid w:val="00824F8B"/>
    <w:rsid w:val="00831BEC"/>
    <w:rsid w:val="0084245B"/>
    <w:rsid w:val="0084485A"/>
    <w:rsid w:val="00861427"/>
    <w:rsid w:val="008750BD"/>
    <w:rsid w:val="0088177A"/>
    <w:rsid w:val="00884B10"/>
    <w:rsid w:val="00890A31"/>
    <w:rsid w:val="00897696"/>
    <w:rsid w:val="008B0845"/>
    <w:rsid w:val="008B1329"/>
    <w:rsid w:val="008B584A"/>
    <w:rsid w:val="008C38B9"/>
    <w:rsid w:val="008C40E5"/>
    <w:rsid w:val="008C7C8A"/>
    <w:rsid w:val="008D73E5"/>
    <w:rsid w:val="008F09E6"/>
    <w:rsid w:val="00903F1F"/>
    <w:rsid w:val="00915F25"/>
    <w:rsid w:val="009169FF"/>
    <w:rsid w:val="00921B98"/>
    <w:rsid w:val="00925DB4"/>
    <w:rsid w:val="00931DB4"/>
    <w:rsid w:val="00933F04"/>
    <w:rsid w:val="009353C8"/>
    <w:rsid w:val="00943F0C"/>
    <w:rsid w:val="00946EFF"/>
    <w:rsid w:val="00950C4B"/>
    <w:rsid w:val="00951124"/>
    <w:rsid w:val="00954822"/>
    <w:rsid w:val="00955B6B"/>
    <w:rsid w:val="00961086"/>
    <w:rsid w:val="009655E2"/>
    <w:rsid w:val="009662D6"/>
    <w:rsid w:val="00970EC0"/>
    <w:rsid w:val="00971E4E"/>
    <w:rsid w:val="00972981"/>
    <w:rsid w:val="00975DAF"/>
    <w:rsid w:val="00990654"/>
    <w:rsid w:val="009A12DA"/>
    <w:rsid w:val="009A5105"/>
    <w:rsid w:val="009B40E5"/>
    <w:rsid w:val="009C5ADD"/>
    <w:rsid w:val="009C66E7"/>
    <w:rsid w:val="009D07A4"/>
    <w:rsid w:val="009D3756"/>
    <w:rsid w:val="009E2203"/>
    <w:rsid w:val="009F0377"/>
    <w:rsid w:val="009F0B2F"/>
    <w:rsid w:val="009F2B2F"/>
    <w:rsid w:val="009F5FF7"/>
    <w:rsid w:val="00A03B26"/>
    <w:rsid w:val="00A04487"/>
    <w:rsid w:val="00A05317"/>
    <w:rsid w:val="00A062B7"/>
    <w:rsid w:val="00A06E49"/>
    <w:rsid w:val="00A13518"/>
    <w:rsid w:val="00A23AD1"/>
    <w:rsid w:val="00A23BB0"/>
    <w:rsid w:val="00A337C2"/>
    <w:rsid w:val="00A45BAD"/>
    <w:rsid w:val="00A47455"/>
    <w:rsid w:val="00A6107C"/>
    <w:rsid w:val="00A627C9"/>
    <w:rsid w:val="00A713F9"/>
    <w:rsid w:val="00A77F08"/>
    <w:rsid w:val="00A80AB0"/>
    <w:rsid w:val="00A94A23"/>
    <w:rsid w:val="00AA18FB"/>
    <w:rsid w:val="00AA562A"/>
    <w:rsid w:val="00AA7BC7"/>
    <w:rsid w:val="00AB14E5"/>
    <w:rsid w:val="00AB1F73"/>
    <w:rsid w:val="00AB56AB"/>
    <w:rsid w:val="00AC76E4"/>
    <w:rsid w:val="00AC7811"/>
    <w:rsid w:val="00AD2319"/>
    <w:rsid w:val="00AE20FB"/>
    <w:rsid w:val="00AE608B"/>
    <w:rsid w:val="00AF0A01"/>
    <w:rsid w:val="00B03C53"/>
    <w:rsid w:val="00B100E3"/>
    <w:rsid w:val="00B13415"/>
    <w:rsid w:val="00B13BE8"/>
    <w:rsid w:val="00B14EA7"/>
    <w:rsid w:val="00B2332F"/>
    <w:rsid w:val="00B30157"/>
    <w:rsid w:val="00B431AB"/>
    <w:rsid w:val="00B43ADB"/>
    <w:rsid w:val="00B441D4"/>
    <w:rsid w:val="00B5461C"/>
    <w:rsid w:val="00B654C6"/>
    <w:rsid w:val="00B77975"/>
    <w:rsid w:val="00B812FF"/>
    <w:rsid w:val="00B92B7D"/>
    <w:rsid w:val="00B96E0C"/>
    <w:rsid w:val="00BA0FD7"/>
    <w:rsid w:val="00BA2144"/>
    <w:rsid w:val="00BA2C52"/>
    <w:rsid w:val="00BA71C1"/>
    <w:rsid w:val="00BB3074"/>
    <w:rsid w:val="00BC5C4C"/>
    <w:rsid w:val="00BD3973"/>
    <w:rsid w:val="00BD59FD"/>
    <w:rsid w:val="00BD6A50"/>
    <w:rsid w:val="00BE741E"/>
    <w:rsid w:val="00BF524F"/>
    <w:rsid w:val="00BF5AC8"/>
    <w:rsid w:val="00C10222"/>
    <w:rsid w:val="00C10981"/>
    <w:rsid w:val="00C10EFA"/>
    <w:rsid w:val="00C157F4"/>
    <w:rsid w:val="00C21F44"/>
    <w:rsid w:val="00C23A51"/>
    <w:rsid w:val="00C2689E"/>
    <w:rsid w:val="00C31E92"/>
    <w:rsid w:val="00C47066"/>
    <w:rsid w:val="00C50211"/>
    <w:rsid w:val="00C62C17"/>
    <w:rsid w:val="00C744DB"/>
    <w:rsid w:val="00CA14E8"/>
    <w:rsid w:val="00CB3129"/>
    <w:rsid w:val="00CB6636"/>
    <w:rsid w:val="00CC715A"/>
    <w:rsid w:val="00CD1B2B"/>
    <w:rsid w:val="00CE294B"/>
    <w:rsid w:val="00CF46CE"/>
    <w:rsid w:val="00CF626F"/>
    <w:rsid w:val="00CF752B"/>
    <w:rsid w:val="00D1654A"/>
    <w:rsid w:val="00D31B26"/>
    <w:rsid w:val="00D32B08"/>
    <w:rsid w:val="00D43019"/>
    <w:rsid w:val="00D45828"/>
    <w:rsid w:val="00D552CA"/>
    <w:rsid w:val="00D55EC4"/>
    <w:rsid w:val="00D61037"/>
    <w:rsid w:val="00D6719F"/>
    <w:rsid w:val="00D73DBC"/>
    <w:rsid w:val="00D75EF2"/>
    <w:rsid w:val="00D80E1A"/>
    <w:rsid w:val="00D860D8"/>
    <w:rsid w:val="00D92A4C"/>
    <w:rsid w:val="00DA0AAC"/>
    <w:rsid w:val="00DA3DB2"/>
    <w:rsid w:val="00DA7AFE"/>
    <w:rsid w:val="00DB3879"/>
    <w:rsid w:val="00DC2C27"/>
    <w:rsid w:val="00DC74E2"/>
    <w:rsid w:val="00DD4AD5"/>
    <w:rsid w:val="00DD7D94"/>
    <w:rsid w:val="00DE4A93"/>
    <w:rsid w:val="00DF0CFA"/>
    <w:rsid w:val="00DF42C8"/>
    <w:rsid w:val="00DF4617"/>
    <w:rsid w:val="00E02110"/>
    <w:rsid w:val="00E30020"/>
    <w:rsid w:val="00E431AF"/>
    <w:rsid w:val="00E601A3"/>
    <w:rsid w:val="00E64EB9"/>
    <w:rsid w:val="00E767A4"/>
    <w:rsid w:val="00E901D6"/>
    <w:rsid w:val="00E95E17"/>
    <w:rsid w:val="00E971BE"/>
    <w:rsid w:val="00EA0D15"/>
    <w:rsid w:val="00ED5DA2"/>
    <w:rsid w:val="00EE4036"/>
    <w:rsid w:val="00EE44C0"/>
    <w:rsid w:val="00EE5809"/>
    <w:rsid w:val="00EF05CF"/>
    <w:rsid w:val="00F02EB4"/>
    <w:rsid w:val="00F12286"/>
    <w:rsid w:val="00F13ABB"/>
    <w:rsid w:val="00F1785A"/>
    <w:rsid w:val="00F21CC7"/>
    <w:rsid w:val="00F252D9"/>
    <w:rsid w:val="00F26D07"/>
    <w:rsid w:val="00F321B8"/>
    <w:rsid w:val="00F415A8"/>
    <w:rsid w:val="00F5225D"/>
    <w:rsid w:val="00F5309E"/>
    <w:rsid w:val="00F556B5"/>
    <w:rsid w:val="00F6792F"/>
    <w:rsid w:val="00F81992"/>
    <w:rsid w:val="00FA0C59"/>
    <w:rsid w:val="00FA300F"/>
    <w:rsid w:val="00FA4999"/>
    <w:rsid w:val="00FB1D75"/>
    <w:rsid w:val="00FB7AD8"/>
    <w:rsid w:val="00FC3931"/>
    <w:rsid w:val="00FD02F9"/>
    <w:rsid w:val="00FD0928"/>
    <w:rsid w:val="00FD2FC2"/>
    <w:rsid w:val="00FD4D21"/>
    <w:rsid w:val="00FE3AA1"/>
    <w:rsid w:val="00FE3DAD"/>
    <w:rsid w:val="00FE59E8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8C39"/>
  <w15:docId w15:val="{6AAE13F6-70F7-40A9-89BD-91B980BE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ind w:left="720"/>
      <w:contextualSpacing/>
    </w:pPr>
  </w:style>
  <w:style w:type="paragraph" w:customStyle="1" w:styleId="Default">
    <w:name w:val="Default"/>
    <w:rsid w:val="00430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524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253DD8"/>
  </w:style>
  <w:style w:type="paragraph" w:styleId="BalloonText">
    <w:name w:val="Balloon Text"/>
    <w:basedOn w:val="Normal"/>
    <w:link w:val="BalloonTextChar"/>
    <w:uiPriority w:val="99"/>
    <w:semiHidden/>
    <w:unhideWhenUsed/>
    <w:rsid w:val="0034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2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133FA-9C2D-45AB-82BA-EAC265BD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10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Zagorac</dc:creator>
  <cp:lastModifiedBy>Branka  Božić</cp:lastModifiedBy>
  <cp:revision>37</cp:revision>
  <cp:lastPrinted>2023-12-11T10:34:00Z</cp:lastPrinted>
  <dcterms:created xsi:type="dcterms:W3CDTF">2023-12-08T13:33:00Z</dcterms:created>
  <dcterms:modified xsi:type="dcterms:W3CDTF">2024-12-17T11:23:00Z</dcterms:modified>
</cp:coreProperties>
</file>